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701F" w14:textId="586ACE2B" w:rsidR="0087044D" w:rsidRPr="0087044D" w:rsidRDefault="0087044D" w:rsidP="0087044D">
      <w:r w:rsidRPr="0087044D">
        <w:rPr>
          <w:b/>
          <w:bCs/>
        </w:rPr>
        <w:t>Professional Dispositions</w:t>
      </w:r>
      <w:r w:rsidRPr="0087044D">
        <w:t> </w:t>
      </w:r>
      <w:r w:rsidRPr="0087044D">
        <w:rPr>
          <w:b/>
          <w:bCs/>
        </w:rPr>
        <w:t>– MS Advanced Standards</w:t>
      </w:r>
    </w:p>
    <w:p w14:paraId="5C281DA4" w14:textId="77777777" w:rsidR="0087044D" w:rsidRPr="0087044D" w:rsidRDefault="0087044D" w:rsidP="0087044D">
      <w:r w:rsidRPr="0087044D">
        <w:t>Data Items: Advanced Dispositions Rubric - Triangulated with Completer Satisfaction Survey, Employer Satisfaction Survey </w:t>
      </w:r>
    </w:p>
    <w:p w14:paraId="0A060841" w14:textId="77777777" w:rsidR="0087044D" w:rsidRPr="0087044D" w:rsidRDefault="0087044D" w:rsidP="0087044D">
      <w:r w:rsidRPr="0087044D">
        <w:t>CAEP Standard(s) Assessed: RA 3.3, 3.4  </w:t>
      </w:r>
    </w:p>
    <w:p w14:paraId="247759C4" w14:textId="77777777" w:rsidR="0087044D" w:rsidRPr="0087044D" w:rsidRDefault="0087044D" w:rsidP="0087044D">
      <w:r w:rsidRPr="0087044D">
        <w:t>Collection Timeline: Advanced Disposition Rubric will be implemented beginning Fall 2026 – Completer and Employer Satisfaction Surveys are administered 1 year after completion. </w:t>
      </w:r>
    </w:p>
    <w:p w14:paraId="11BB77DE" w14:textId="77777777" w:rsidR="0087044D" w:rsidRPr="0087044D" w:rsidRDefault="0087044D" w:rsidP="0087044D">
      <w:r w:rsidRPr="0087044D">
        <w:t>Collection Tool: Rubric in SLL – electronic surveys in Microsoft Forms® </w:t>
      </w:r>
    </w:p>
    <w:p w14:paraId="5FF233F2" w14:textId="77777777" w:rsidR="0087044D" w:rsidRPr="0087044D" w:rsidRDefault="0087044D" w:rsidP="0087044D">
      <w:r w:rsidRPr="0087044D">
        <w:t>Assessors: faculty, mentor teachers, completers, employers </w:t>
      </w:r>
    </w:p>
    <w:p w14:paraId="69BFC2DF" w14:textId="77777777" w:rsidR="0087044D" w:rsidRPr="0087044D" w:rsidRDefault="0087044D" w:rsidP="0087044D">
      <w:r w:rsidRPr="0087044D">
        <w:t>Reporting Audience: ND ESPB, TESAC, TEAC, Graduate School, Department Program Director &amp; Faculty  </w:t>
      </w:r>
    </w:p>
    <w:p w14:paraId="7CA3DDCB" w14:textId="77777777" w:rsidR="0087044D" w:rsidRPr="0087044D" w:rsidRDefault="0087044D" w:rsidP="0087044D">
      <w:r w:rsidRPr="0087044D">
        <w:t>Advanced Professional Dispositions for program completers 2024-25: </w:t>
      </w:r>
    </w:p>
    <w:p w14:paraId="3580AD75" w14:textId="77777777" w:rsidR="0087044D" w:rsidRPr="0087044D" w:rsidRDefault="0087044D" w:rsidP="0087044D">
      <w:r w:rsidRPr="0087044D">
        <w:t xml:space="preserve">The system for assessment of advanced professional dispositions was revised during the 2025-26 academic year to be developmental at early, mid and completion points using a newly developed rubric. Data from this tool will be collected beginning in the 2026-27 academic year. The revised assessment system includes data triangulation with the Employer Satisfaction and Completer Satisfaction surveys. These </w:t>
      </w:r>
      <w:proofErr w:type="gramStart"/>
      <w:r w:rsidRPr="0087044D">
        <w:t>data for</w:t>
      </w:r>
      <w:proofErr w:type="gramEnd"/>
      <w:r w:rsidRPr="0087044D">
        <w:t> are: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8"/>
        <w:gridCol w:w="2418"/>
        <w:gridCol w:w="2648"/>
      </w:tblGrid>
      <w:tr w:rsidR="0087044D" w:rsidRPr="0087044D" w14:paraId="638DFD63"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248B2CF5" w14:textId="77777777" w:rsidR="0087044D" w:rsidRPr="0087044D" w:rsidRDefault="0087044D" w:rsidP="0087044D">
            <w:r w:rsidRPr="0087044D">
              <w:rPr>
                <w:b/>
                <w:bCs/>
              </w:rPr>
              <w:t>Advanced Professional Disposition Area</w:t>
            </w:r>
            <w:r w:rsidRPr="0087044D">
              <w:t> </w:t>
            </w:r>
          </w:p>
        </w:tc>
        <w:tc>
          <w:tcPr>
            <w:tcW w:w="2430" w:type="dxa"/>
            <w:tcBorders>
              <w:top w:val="single" w:sz="6" w:space="0" w:color="auto"/>
              <w:left w:val="single" w:sz="6" w:space="0" w:color="auto"/>
              <w:bottom w:val="single" w:sz="6" w:space="0" w:color="auto"/>
              <w:right w:val="single" w:sz="6" w:space="0" w:color="auto"/>
            </w:tcBorders>
            <w:hideMark/>
          </w:tcPr>
          <w:p w14:paraId="0A48897A" w14:textId="77777777" w:rsidR="0087044D" w:rsidRPr="0087044D" w:rsidRDefault="0087044D" w:rsidP="0087044D">
            <w:r w:rsidRPr="0087044D">
              <w:rPr>
                <w:b/>
                <w:bCs/>
              </w:rPr>
              <w:t>Completer Rating</w:t>
            </w:r>
            <w:r w:rsidRPr="0087044D">
              <w:t> </w:t>
            </w:r>
          </w:p>
        </w:tc>
        <w:tc>
          <w:tcPr>
            <w:tcW w:w="2670" w:type="dxa"/>
            <w:tcBorders>
              <w:top w:val="single" w:sz="6" w:space="0" w:color="auto"/>
              <w:left w:val="single" w:sz="6" w:space="0" w:color="auto"/>
              <w:bottom w:val="single" w:sz="6" w:space="0" w:color="auto"/>
              <w:right w:val="single" w:sz="6" w:space="0" w:color="auto"/>
            </w:tcBorders>
            <w:hideMark/>
          </w:tcPr>
          <w:p w14:paraId="1BCEB1F6" w14:textId="77777777" w:rsidR="0087044D" w:rsidRPr="0087044D" w:rsidRDefault="0087044D" w:rsidP="0087044D">
            <w:r w:rsidRPr="0087044D">
              <w:rPr>
                <w:b/>
                <w:bCs/>
              </w:rPr>
              <w:t>Employer Rating</w:t>
            </w:r>
            <w:r w:rsidRPr="0087044D">
              <w:t> </w:t>
            </w:r>
          </w:p>
        </w:tc>
      </w:tr>
      <w:tr w:rsidR="0087044D" w:rsidRPr="0087044D" w14:paraId="48EA8263"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593EA2B1" w14:textId="77777777" w:rsidR="0087044D" w:rsidRPr="0087044D" w:rsidRDefault="0087044D" w:rsidP="0087044D">
            <w:r w:rsidRPr="0087044D">
              <w:t>1. Ethical &amp; Professional Judgment in Practice </w:t>
            </w:r>
          </w:p>
        </w:tc>
        <w:tc>
          <w:tcPr>
            <w:tcW w:w="2430" w:type="dxa"/>
            <w:tcBorders>
              <w:top w:val="single" w:sz="6" w:space="0" w:color="auto"/>
              <w:left w:val="single" w:sz="6" w:space="0" w:color="auto"/>
              <w:bottom w:val="single" w:sz="6" w:space="0" w:color="auto"/>
              <w:right w:val="single" w:sz="6" w:space="0" w:color="auto"/>
            </w:tcBorders>
            <w:hideMark/>
          </w:tcPr>
          <w:p w14:paraId="52F45770" w14:textId="77777777" w:rsidR="0087044D" w:rsidRPr="0087044D" w:rsidRDefault="0087044D" w:rsidP="0087044D">
            <w:r w:rsidRPr="0087044D">
              <w:t>3.83 </w:t>
            </w:r>
          </w:p>
        </w:tc>
        <w:tc>
          <w:tcPr>
            <w:tcW w:w="2670" w:type="dxa"/>
            <w:tcBorders>
              <w:top w:val="single" w:sz="6" w:space="0" w:color="auto"/>
              <w:left w:val="single" w:sz="6" w:space="0" w:color="auto"/>
              <w:bottom w:val="single" w:sz="6" w:space="0" w:color="auto"/>
              <w:right w:val="single" w:sz="6" w:space="0" w:color="auto"/>
            </w:tcBorders>
            <w:hideMark/>
          </w:tcPr>
          <w:p w14:paraId="02CB3630" w14:textId="77777777" w:rsidR="0087044D" w:rsidRPr="0087044D" w:rsidRDefault="0087044D" w:rsidP="0087044D">
            <w:r w:rsidRPr="0087044D">
              <w:t>3.83 </w:t>
            </w:r>
          </w:p>
        </w:tc>
      </w:tr>
      <w:tr w:rsidR="0087044D" w:rsidRPr="0087044D" w14:paraId="54C06E96"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6798FD96" w14:textId="77777777" w:rsidR="0087044D" w:rsidRPr="0087044D" w:rsidRDefault="0087044D" w:rsidP="0087044D">
            <w:r w:rsidRPr="0087044D">
              <w:t>2. Reflective Practice &amp; Continuous Improvement </w:t>
            </w:r>
          </w:p>
        </w:tc>
        <w:tc>
          <w:tcPr>
            <w:tcW w:w="2430" w:type="dxa"/>
            <w:tcBorders>
              <w:top w:val="single" w:sz="6" w:space="0" w:color="auto"/>
              <w:left w:val="single" w:sz="6" w:space="0" w:color="auto"/>
              <w:bottom w:val="single" w:sz="6" w:space="0" w:color="auto"/>
              <w:right w:val="single" w:sz="6" w:space="0" w:color="auto"/>
            </w:tcBorders>
            <w:hideMark/>
          </w:tcPr>
          <w:p w14:paraId="73454A5E" w14:textId="77777777" w:rsidR="0087044D" w:rsidRPr="0087044D" w:rsidRDefault="0087044D" w:rsidP="0087044D">
            <w:r w:rsidRPr="0087044D">
              <w:t>3.83 </w:t>
            </w:r>
          </w:p>
        </w:tc>
        <w:tc>
          <w:tcPr>
            <w:tcW w:w="2670" w:type="dxa"/>
            <w:tcBorders>
              <w:top w:val="single" w:sz="6" w:space="0" w:color="auto"/>
              <w:left w:val="single" w:sz="6" w:space="0" w:color="auto"/>
              <w:bottom w:val="single" w:sz="6" w:space="0" w:color="auto"/>
              <w:right w:val="single" w:sz="6" w:space="0" w:color="auto"/>
            </w:tcBorders>
            <w:hideMark/>
          </w:tcPr>
          <w:p w14:paraId="4442E10C" w14:textId="77777777" w:rsidR="0087044D" w:rsidRPr="0087044D" w:rsidRDefault="0087044D" w:rsidP="0087044D">
            <w:r w:rsidRPr="0087044D">
              <w:t>3.67 </w:t>
            </w:r>
          </w:p>
        </w:tc>
      </w:tr>
      <w:tr w:rsidR="0087044D" w:rsidRPr="0087044D" w14:paraId="70B1904A"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755F598A" w14:textId="77777777" w:rsidR="0087044D" w:rsidRPr="0087044D" w:rsidRDefault="0087044D" w:rsidP="0087044D">
            <w:r w:rsidRPr="0087044D">
              <w:t>3. Leadership &amp; Advocacy for Individuals with Exceptionalities </w:t>
            </w:r>
          </w:p>
        </w:tc>
        <w:tc>
          <w:tcPr>
            <w:tcW w:w="2430" w:type="dxa"/>
            <w:tcBorders>
              <w:top w:val="single" w:sz="6" w:space="0" w:color="auto"/>
              <w:left w:val="single" w:sz="6" w:space="0" w:color="auto"/>
              <w:bottom w:val="single" w:sz="6" w:space="0" w:color="auto"/>
              <w:right w:val="single" w:sz="6" w:space="0" w:color="auto"/>
            </w:tcBorders>
            <w:hideMark/>
          </w:tcPr>
          <w:p w14:paraId="65FAF64C" w14:textId="77777777" w:rsidR="0087044D" w:rsidRPr="0087044D" w:rsidRDefault="0087044D" w:rsidP="0087044D">
            <w:r w:rsidRPr="0087044D">
              <w:t>3.88 </w:t>
            </w:r>
          </w:p>
        </w:tc>
        <w:tc>
          <w:tcPr>
            <w:tcW w:w="2670" w:type="dxa"/>
            <w:tcBorders>
              <w:top w:val="single" w:sz="6" w:space="0" w:color="auto"/>
              <w:left w:val="single" w:sz="6" w:space="0" w:color="auto"/>
              <w:bottom w:val="single" w:sz="6" w:space="0" w:color="auto"/>
              <w:right w:val="single" w:sz="6" w:space="0" w:color="auto"/>
            </w:tcBorders>
            <w:hideMark/>
          </w:tcPr>
          <w:p w14:paraId="67C7A27D" w14:textId="77777777" w:rsidR="0087044D" w:rsidRPr="0087044D" w:rsidRDefault="0087044D" w:rsidP="0087044D">
            <w:r w:rsidRPr="0087044D">
              <w:t>3.75 </w:t>
            </w:r>
          </w:p>
        </w:tc>
      </w:tr>
      <w:tr w:rsidR="0087044D" w:rsidRPr="0087044D" w14:paraId="664C4D90"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66F962E3" w14:textId="77777777" w:rsidR="0087044D" w:rsidRPr="0087044D" w:rsidRDefault="0087044D" w:rsidP="0087044D">
            <w:r w:rsidRPr="0087044D">
              <w:t>4. Collaboration &amp; Systems Engagement </w:t>
            </w:r>
          </w:p>
        </w:tc>
        <w:tc>
          <w:tcPr>
            <w:tcW w:w="2430" w:type="dxa"/>
            <w:tcBorders>
              <w:top w:val="single" w:sz="6" w:space="0" w:color="auto"/>
              <w:left w:val="single" w:sz="6" w:space="0" w:color="auto"/>
              <w:bottom w:val="single" w:sz="6" w:space="0" w:color="auto"/>
              <w:right w:val="single" w:sz="6" w:space="0" w:color="auto"/>
            </w:tcBorders>
            <w:hideMark/>
          </w:tcPr>
          <w:p w14:paraId="08538FFC" w14:textId="77777777" w:rsidR="0087044D" w:rsidRPr="0087044D" w:rsidRDefault="0087044D" w:rsidP="0087044D">
            <w:r w:rsidRPr="0087044D">
              <w:t>3.33 </w:t>
            </w:r>
          </w:p>
        </w:tc>
        <w:tc>
          <w:tcPr>
            <w:tcW w:w="2670" w:type="dxa"/>
            <w:tcBorders>
              <w:top w:val="single" w:sz="6" w:space="0" w:color="auto"/>
              <w:left w:val="single" w:sz="6" w:space="0" w:color="auto"/>
              <w:bottom w:val="single" w:sz="6" w:space="0" w:color="auto"/>
              <w:right w:val="single" w:sz="6" w:space="0" w:color="auto"/>
            </w:tcBorders>
            <w:hideMark/>
          </w:tcPr>
          <w:p w14:paraId="08C77125" w14:textId="77777777" w:rsidR="0087044D" w:rsidRPr="0087044D" w:rsidRDefault="0087044D" w:rsidP="0087044D">
            <w:r w:rsidRPr="0087044D">
              <w:t>3.61 </w:t>
            </w:r>
          </w:p>
        </w:tc>
      </w:tr>
      <w:tr w:rsidR="0087044D" w:rsidRPr="0087044D" w14:paraId="63DC58AB"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18488533" w14:textId="77777777" w:rsidR="0087044D" w:rsidRPr="0087044D" w:rsidRDefault="0087044D" w:rsidP="0087044D">
            <w:r w:rsidRPr="0087044D">
              <w:t>5. Meaningful Inclusion &amp; Cultural Responsiveness </w:t>
            </w:r>
          </w:p>
        </w:tc>
        <w:tc>
          <w:tcPr>
            <w:tcW w:w="2430" w:type="dxa"/>
            <w:tcBorders>
              <w:top w:val="single" w:sz="6" w:space="0" w:color="auto"/>
              <w:left w:val="single" w:sz="6" w:space="0" w:color="auto"/>
              <w:bottom w:val="single" w:sz="6" w:space="0" w:color="auto"/>
              <w:right w:val="single" w:sz="6" w:space="0" w:color="auto"/>
            </w:tcBorders>
            <w:hideMark/>
          </w:tcPr>
          <w:p w14:paraId="312AC0FB" w14:textId="77777777" w:rsidR="0087044D" w:rsidRPr="0087044D" w:rsidRDefault="0087044D" w:rsidP="0087044D">
            <w:r w:rsidRPr="0087044D">
              <w:t>3.79 </w:t>
            </w:r>
          </w:p>
        </w:tc>
        <w:tc>
          <w:tcPr>
            <w:tcW w:w="2670" w:type="dxa"/>
            <w:tcBorders>
              <w:top w:val="single" w:sz="6" w:space="0" w:color="auto"/>
              <w:left w:val="single" w:sz="6" w:space="0" w:color="auto"/>
              <w:bottom w:val="single" w:sz="6" w:space="0" w:color="auto"/>
              <w:right w:val="single" w:sz="6" w:space="0" w:color="auto"/>
            </w:tcBorders>
            <w:hideMark/>
          </w:tcPr>
          <w:p w14:paraId="503A33A6" w14:textId="77777777" w:rsidR="0087044D" w:rsidRPr="0087044D" w:rsidRDefault="0087044D" w:rsidP="0087044D">
            <w:r w:rsidRPr="0087044D">
              <w:t>3.79 </w:t>
            </w:r>
          </w:p>
        </w:tc>
      </w:tr>
      <w:tr w:rsidR="0087044D" w:rsidRPr="0087044D" w14:paraId="15C38AEC" w14:textId="77777777">
        <w:trPr>
          <w:trHeight w:val="300"/>
        </w:trPr>
        <w:tc>
          <w:tcPr>
            <w:tcW w:w="4290" w:type="dxa"/>
            <w:tcBorders>
              <w:top w:val="single" w:sz="6" w:space="0" w:color="auto"/>
              <w:left w:val="single" w:sz="6" w:space="0" w:color="auto"/>
              <w:bottom w:val="single" w:sz="6" w:space="0" w:color="auto"/>
              <w:right w:val="single" w:sz="6" w:space="0" w:color="auto"/>
            </w:tcBorders>
            <w:hideMark/>
          </w:tcPr>
          <w:p w14:paraId="17429182" w14:textId="77777777" w:rsidR="0087044D" w:rsidRPr="0087044D" w:rsidRDefault="0087044D" w:rsidP="0087044D">
            <w:r w:rsidRPr="0087044D">
              <w:t>6. Commitment to Evidence-Based Practice </w:t>
            </w:r>
          </w:p>
        </w:tc>
        <w:tc>
          <w:tcPr>
            <w:tcW w:w="2430" w:type="dxa"/>
            <w:tcBorders>
              <w:top w:val="single" w:sz="6" w:space="0" w:color="auto"/>
              <w:left w:val="single" w:sz="6" w:space="0" w:color="auto"/>
              <w:bottom w:val="single" w:sz="6" w:space="0" w:color="auto"/>
              <w:right w:val="single" w:sz="6" w:space="0" w:color="auto"/>
            </w:tcBorders>
            <w:hideMark/>
          </w:tcPr>
          <w:p w14:paraId="6FD4E597" w14:textId="77777777" w:rsidR="0087044D" w:rsidRPr="0087044D" w:rsidRDefault="0087044D" w:rsidP="0087044D">
            <w:r w:rsidRPr="0087044D">
              <w:t>3.63 </w:t>
            </w:r>
          </w:p>
        </w:tc>
        <w:tc>
          <w:tcPr>
            <w:tcW w:w="2670" w:type="dxa"/>
            <w:tcBorders>
              <w:top w:val="single" w:sz="6" w:space="0" w:color="auto"/>
              <w:left w:val="single" w:sz="6" w:space="0" w:color="auto"/>
              <w:bottom w:val="single" w:sz="6" w:space="0" w:color="auto"/>
              <w:right w:val="single" w:sz="6" w:space="0" w:color="auto"/>
            </w:tcBorders>
            <w:hideMark/>
          </w:tcPr>
          <w:p w14:paraId="5578C8FE" w14:textId="77777777" w:rsidR="0087044D" w:rsidRPr="0087044D" w:rsidRDefault="0087044D" w:rsidP="0087044D">
            <w:r w:rsidRPr="0087044D">
              <w:t>3.67 </w:t>
            </w:r>
          </w:p>
        </w:tc>
      </w:tr>
    </w:tbl>
    <w:p w14:paraId="09B540A0" w14:textId="77777777" w:rsidR="0087044D" w:rsidRPr="0087044D" w:rsidRDefault="0087044D" w:rsidP="0087044D">
      <w:r w:rsidRPr="0087044D">
        <w:t> </w:t>
      </w:r>
    </w:p>
    <w:p w14:paraId="097CF925" w14:textId="77777777" w:rsidR="0087044D" w:rsidRPr="0087044D" w:rsidRDefault="0087044D" w:rsidP="0087044D">
      <w:r w:rsidRPr="0087044D">
        <w:rPr>
          <w:b/>
          <w:bCs/>
        </w:rPr>
        <w:lastRenderedPageBreak/>
        <w:t>Interpretation</w:t>
      </w:r>
      <w:r w:rsidRPr="0087044D">
        <w:t>: Overall, both completer and employer ratings related to advanced professional dispositions are solidly within the target range of 3.0 or higher. There is a high level of agreement in ratings of dispositions by both completers and employers. Both groups rated the area of Collaboration and Systems Engagement relatively lower than the other areas and completers rated themselves slightly lower than employers rated them. Once developmental disposition data becomes available, trends in these data will be monitored and targeted for improvement if necessary. </w:t>
      </w:r>
    </w:p>
    <w:p w14:paraId="2973652C" w14:textId="77777777" w:rsidR="0087044D" w:rsidRDefault="0087044D"/>
    <w:sectPr w:rsidR="0087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4D"/>
    <w:rsid w:val="0087044D"/>
    <w:rsid w:val="0096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26F9"/>
  <w15:chartTrackingRefBased/>
  <w15:docId w15:val="{BFADF32E-1098-4F14-A3C9-A641AF0A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04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4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4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4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4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4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4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4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4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4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4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4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4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4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4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4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44D"/>
    <w:rPr>
      <w:rFonts w:eastAsiaTheme="majorEastAsia" w:cstheme="majorBidi"/>
      <w:color w:val="272727" w:themeColor="text1" w:themeTint="D8"/>
    </w:rPr>
  </w:style>
  <w:style w:type="paragraph" w:styleId="Title">
    <w:name w:val="Title"/>
    <w:basedOn w:val="Normal"/>
    <w:next w:val="Normal"/>
    <w:link w:val="TitleChar"/>
    <w:uiPriority w:val="10"/>
    <w:qFormat/>
    <w:rsid w:val="008704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4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4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44D"/>
    <w:pPr>
      <w:spacing w:before="160"/>
      <w:jc w:val="center"/>
    </w:pPr>
    <w:rPr>
      <w:i/>
      <w:iCs/>
      <w:color w:val="404040" w:themeColor="text1" w:themeTint="BF"/>
    </w:rPr>
  </w:style>
  <w:style w:type="character" w:customStyle="1" w:styleId="QuoteChar">
    <w:name w:val="Quote Char"/>
    <w:basedOn w:val="DefaultParagraphFont"/>
    <w:link w:val="Quote"/>
    <w:uiPriority w:val="29"/>
    <w:rsid w:val="0087044D"/>
    <w:rPr>
      <w:i/>
      <w:iCs/>
      <w:color w:val="404040" w:themeColor="text1" w:themeTint="BF"/>
    </w:rPr>
  </w:style>
  <w:style w:type="paragraph" w:styleId="ListParagraph">
    <w:name w:val="List Paragraph"/>
    <w:basedOn w:val="Normal"/>
    <w:uiPriority w:val="34"/>
    <w:qFormat/>
    <w:rsid w:val="0087044D"/>
    <w:pPr>
      <w:ind w:left="720"/>
      <w:contextualSpacing/>
    </w:pPr>
  </w:style>
  <w:style w:type="character" w:styleId="IntenseEmphasis">
    <w:name w:val="Intense Emphasis"/>
    <w:basedOn w:val="DefaultParagraphFont"/>
    <w:uiPriority w:val="21"/>
    <w:qFormat/>
    <w:rsid w:val="0087044D"/>
    <w:rPr>
      <w:i/>
      <w:iCs/>
      <w:color w:val="0F4761" w:themeColor="accent1" w:themeShade="BF"/>
    </w:rPr>
  </w:style>
  <w:style w:type="paragraph" w:styleId="IntenseQuote">
    <w:name w:val="Intense Quote"/>
    <w:basedOn w:val="Normal"/>
    <w:next w:val="Normal"/>
    <w:link w:val="IntenseQuoteChar"/>
    <w:uiPriority w:val="30"/>
    <w:qFormat/>
    <w:rsid w:val="008704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44D"/>
    <w:rPr>
      <w:i/>
      <w:iCs/>
      <w:color w:val="0F4761" w:themeColor="accent1" w:themeShade="BF"/>
    </w:rPr>
  </w:style>
  <w:style w:type="character" w:styleId="IntenseReference">
    <w:name w:val="Intense Reference"/>
    <w:basedOn w:val="DefaultParagraphFont"/>
    <w:uiPriority w:val="32"/>
    <w:qFormat/>
    <w:rsid w:val="008704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Borden-King, Lisa</dc:creator>
  <cp:keywords/>
  <dc:description/>
  <cp:lastModifiedBy>Borden-King, Lisa</cp:lastModifiedBy>
  <cp:revision>1</cp:revision>
  <dcterms:created xsi:type="dcterms:W3CDTF">2026-04-29T12:05:00Z</dcterms:created>
  <dcterms:modified xsi:type="dcterms:W3CDTF">2026-04-29T12:06:00Z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c2796e0e-60ac-4ef4-9fec-37f283c01a43</vt:lpwstr>
  </property>
</Properties>
</file>