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E755" w14:textId="77777777" w:rsidR="00E365C4" w:rsidRDefault="00000000">
      <w:pPr>
        <w:pStyle w:val="Heading2"/>
        <w:spacing w:before="39"/>
      </w:pPr>
      <w:r>
        <w:rPr>
          <w:u w:val="single"/>
        </w:rPr>
        <w:t>Data</w:t>
      </w:r>
      <w:r>
        <w:rPr>
          <w:spacing w:val="-5"/>
          <w:u w:val="single"/>
        </w:rPr>
        <w:t xml:space="preserve"> </w:t>
      </w:r>
      <w:r>
        <w:rPr>
          <w:u w:val="single"/>
        </w:rPr>
        <w:t>Tool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Praxis</w:t>
      </w:r>
      <w:r>
        <w:rPr>
          <w:spacing w:val="-4"/>
          <w:u w:val="single"/>
        </w:rPr>
        <w:t xml:space="preserve"> </w:t>
      </w:r>
      <w:r>
        <w:rPr>
          <w:u w:val="single"/>
        </w:rPr>
        <w:t>II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content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tests</w:t>
      </w:r>
    </w:p>
    <w:p w14:paraId="17639354" w14:textId="77777777" w:rsidR="00E365C4" w:rsidRDefault="00E365C4">
      <w:pPr>
        <w:pStyle w:val="BodyText"/>
        <w:rPr>
          <w:b/>
        </w:rPr>
      </w:pPr>
    </w:p>
    <w:p w14:paraId="6217C31F" w14:textId="77777777" w:rsidR="00E365C4" w:rsidRDefault="00000000">
      <w:pPr>
        <w:pStyle w:val="BodyText"/>
        <w:spacing w:before="1"/>
        <w:ind w:right="2621"/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Items:</w:t>
      </w:r>
      <w:r>
        <w:rPr>
          <w:b/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completers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tests: Art: 5134, passing 158</w:t>
      </w:r>
    </w:p>
    <w:p w14:paraId="44A572A6" w14:textId="77777777" w:rsidR="00E365C4" w:rsidRDefault="00000000">
      <w:pPr>
        <w:pStyle w:val="BodyText"/>
        <w:spacing w:line="267" w:lineRule="exact"/>
      </w:pPr>
      <w:r>
        <w:t>Business:</w:t>
      </w:r>
      <w:r>
        <w:rPr>
          <w:spacing w:val="-5"/>
        </w:rPr>
        <w:t xml:space="preserve"> </w:t>
      </w:r>
      <w:r>
        <w:t>5101,</w:t>
      </w:r>
      <w:r>
        <w:rPr>
          <w:spacing w:val="-5"/>
        </w:rPr>
        <w:t xml:space="preserve"> </w:t>
      </w:r>
      <w:r>
        <w:t>154</w:t>
      </w:r>
      <w:r>
        <w:rPr>
          <w:spacing w:val="-5"/>
        </w:rPr>
        <w:t xml:space="preserve"> </w:t>
      </w:r>
      <w:r>
        <w:rPr>
          <w:spacing w:val="-2"/>
        </w:rPr>
        <w:t>passing</w:t>
      </w:r>
    </w:p>
    <w:p w14:paraId="1A2C23D9" w14:textId="77777777" w:rsidR="00E365C4" w:rsidRDefault="00000000">
      <w:pPr>
        <w:pStyle w:val="BodyText"/>
      </w:pPr>
      <w:r>
        <w:t>Early</w:t>
      </w:r>
      <w:r>
        <w:rPr>
          <w:spacing w:val="-6"/>
        </w:rPr>
        <w:t xml:space="preserve"> </w:t>
      </w:r>
      <w:r>
        <w:t>Childhood</w:t>
      </w:r>
      <w:r>
        <w:rPr>
          <w:spacing w:val="-6"/>
        </w:rPr>
        <w:t xml:space="preserve"> </w:t>
      </w:r>
      <w:r>
        <w:t>Education:</w:t>
      </w:r>
      <w:r>
        <w:rPr>
          <w:spacing w:val="-7"/>
        </w:rPr>
        <w:t xml:space="preserve"> </w:t>
      </w:r>
      <w:r>
        <w:t>5025,</w:t>
      </w:r>
      <w:r>
        <w:rPr>
          <w:spacing w:val="-7"/>
        </w:rPr>
        <w:t xml:space="preserve"> </w:t>
      </w:r>
      <w:r>
        <w:t>passing</w:t>
      </w:r>
      <w:r>
        <w:rPr>
          <w:spacing w:val="-6"/>
        </w:rPr>
        <w:t xml:space="preserve"> </w:t>
      </w:r>
      <w:r>
        <w:rPr>
          <w:spacing w:val="-5"/>
        </w:rPr>
        <w:t>156</w:t>
      </w:r>
    </w:p>
    <w:p w14:paraId="2A67F1A2" w14:textId="77777777" w:rsidR="00E365C4" w:rsidRDefault="00000000">
      <w:pPr>
        <w:pStyle w:val="BodyText"/>
      </w:pPr>
      <w:r>
        <w:t>Elementary</w:t>
      </w:r>
      <w:r>
        <w:rPr>
          <w:spacing w:val="-5"/>
        </w:rPr>
        <w:t xml:space="preserve"> </w:t>
      </w:r>
      <w:r>
        <w:t>Education:</w:t>
      </w:r>
      <w:r>
        <w:rPr>
          <w:spacing w:val="-8"/>
        </w:rPr>
        <w:t xml:space="preserve"> </w:t>
      </w:r>
      <w:r>
        <w:t>5017,</w:t>
      </w:r>
      <w:r>
        <w:rPr>
          <w:spacing w:val="-5"/>
        </w:rPr>
        <w:t xml:space="preserve"> </w:t>
      </w:r>
      <w:r>
        <w:t>passing</w:t>
      </w:r>
      <w:r>
        <w:rPr>
          <w:spacing w:val="-8"/>
        </w:rPr>
        <w:t xml:space="preserve"> </w:t>
      </w:r>
      <w:r>
        <w:rPr>
          <w:spacing w:val="-5"/>
        </w:rPr>
        <w:t>153</w:t>
      </w:r>
    </w:p>
    <w:p w14:paraId="70AD975C" w14:textId="77777777" w:rsidR="00E365C4" w:rsidRDefault="00000000">
      <w:pPr>
        <w:pStyle w:val="BodyText"/>
      </w:pPr>
      <w:r>
        <w:t>English:</w:t>
      </w:r>
      <w:r>
        <w:rPr>
          <w:spacing w:val="-7"/>
        </w:rPr>
        <w:t xml:space="preserve"> </w:t>
      </w:r>
      <w:r>
        <w:t>5038,</w:t>
      </w:r>
      <w:r>
        <w:rPr>
          <w:spacing w:val="-5"/>
        </w:rPr>
        <w:t xml:space="preserve"> </w:t>
      </w:r>
      <w:r>
        <w:t>passing</w:t>
      </w:r>
      <w:r>
        <w:rPr>
          <w:spacing w:val="-7"/>
        </w:rPr>
        <w:t xml:space="preserve"> </w:t>
      </w:r>
      <w:r>
        <w:rPr>
          <w:spacing w:val="-5"/>
        </w:rPr>
        <w:t>167</w:t>
      </w:r>
    </w:p>
    <w:p w14:paraId="4E949783" w14:textId="77777777" w:rsidR="00E365C4" w:rsidRDefault="00000000">
      <w:pPr>
        <w:pStyle w:val="BodyText"/>
        <w:ind w:right="5985"/>
      </w:pPr>
      <w:r>
        <w:t>History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Studies:</w:t>
      </w:r>
      <w:r>
        <w:rPr>
          <w:spacing w:val="-7"/>
        </w:rPr>
        <w:t xml:space="preserve"> </w:t>
      </w:r>
      <w:r>
        <w:t>5081,</w:t>
      </w:r>
      <w:r>
        <w:rPr>
          <w:spacing w:val="-8"/>
        </w:rPr>
        <w:t xml:space="preserve"> </w:t>
      </w:r>
      <w:r>
        <w:t>passing</w:t>
      </w:r>
      <w:r>
        <w:rPr>
          <w:spacing w:val="-6"/>
        </w:rPr>
        <w:t xml:space="preserve"> </w:t>
      </w:r>
      <w:r>
        <w:t>153 Mathematics: 5165, passing 159</w:t>
      </w:r>
    </w:p>
    <w:p w14:paraId="3585566E" w14:textId="77777777" w:rsidR="00E365C4" w:rsidRDefault="00000000">
      <w:pPr>
        <w:pStyle w:val="BodyText"/>
        <w:spacing w:before="1"/>
      </w:pPr>
      <w:r>
        <w:t>Music:</w:t>
      </w:r>
      <w:r>
        <w:rPr>
          <w:spacing w:val="-6"/>
        </w:rPr>
        <w:t xml:space="preserve"> </w:t>
      </w:r>
      <w:r>
        <w:t>5113,</w:t>
      </w:r>
      <w:r>
        <w:rPr>
          <w:spacing w:val="-5"/>
        </w:rPr>
        <w:t xml:space="preserve"> </w:t>
      </w:r>
      <w:r>
        <w:t>passing</w:t>
      </w:r>
      <w:r>
        <w:rPr>
          <w:spacing w:val="-6"/>
        </w:rPr>
        <w:t xml:space="preserve"> </w:t>
      </w:r>
      <w:r>
        <w:rPr>
          <w:spacing w:val="-5"/>
        </w:rPr>
        <w:t>149</w:t>
      </w:r>
    </w:p>
    <w:p w14:paraId="57518BA2" w14:textId="77777777" w:rsidR="00E365C4" w:rsidRDefault="00000000">
      <w:pPr>
        <w:pStyle w:val="BodyText"/>
      </w:pPr>
      <w:r>
        <w:t>Physical</w:t>
      </w:r>
      <w:r>
        <w:rPr>
          <w:spacing w:val="-8"/>
        </w:rPr>
        <w:t xml:space="preserve"> </w:t>
      </w:r>
      <w:r>
        <w:t>Education:</w:t>
      </w:r>
      <w:r>
        <w:rPr>
          <w:spacing w:val="-7"/>
        </w:rPr>
        <w:t xml:space="preserve"> </w:t>
      </w:r>
      <w:r>
        <w:t>5091,</w:t>
      </w:r>
      <w:r>
        <w:rPr>
          <w:spacing w:val="-5"/>
        </w:rPr>
        <w:t xml:space="preserve"> </w:t>
      </w:r>
      <w:r>
        <w:t>passing</w:t>
      </w:r>
      <w:r>
        <w:rPr>
          <w:spacing w:val="-5"/>
        </w:rPr>
        <w:t xml:space="preserve"> 143</w:t>
      </w:r>
    </w:p>
    <w:p w14:paraId="6E669F3D" w14:textId="77777777" w:rsidR="00E365C4" w:rsidRDefault="00000000">
      <w:pPr>
        <w:pStyle w:val="BodyText"/>
      </w:pPr>
      <w:r>
        <w:t>Science:</w:t>
      </w:r>
      <w:r>
        <w:rPr>
          <w:spacing w:val="-6"/>
        </w:rPr>
        <w:t xml:space="preserve"> </w:t>
      </w:r>
      <w:r>
        <w:t>5436,</w:t>
      </w:r>
      <w:r>
        <w:rPr>
          <w:spacing w:val="-4"/>
        </w:rPr>
        <w:t xml:space="preserve"> </w:t>
      </w:r>
      <w:r>
        <w:t>passing</w:t>
      </w:r>
      <w:r>
        <w:rPr>
          <w:spacing w:val="-6"/>
        </w:rPr>
        <w:t xml:space="preserve"> </w:t>
      </w:r>
      <w:r>
        <w:rPr>
          <w:spacing w:val="-5"/>
        </w:rPr>
        <w:t>141</w:t>
      </w:r>
    </w:p>
    <w:p w14:paraId="71F7DBBF" w14:textId="77777777" w:rsidR="00E365C4" w:rsidRDefault="00000000">
      <w:pPr>
        <w:pStyle w:val="BodyText"/>
        <w:spacing w:before="1" w:line="268" w:lineRule="exact"/>
      </w:pPr>
      <w:r>
        <w:t>Special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(initial):</w:t>
      </w:r>
      <w:r>
        <w:rPr>
          <w:spacing w:val="-7"/>
        </w:rPr>
        <w:t xml:space="preserve"> </w:t>
      </w:r>
      <w:r>
        <w:t>5354,</w:t>
      </w:r>
      <w:r>
        <w:rPr>
          <w:spacing w:val="-8"/>
        </w:rPr>
        <w:t xml:space="preserve"> </w:t>
      </w:r>
      <w:r>
        <w:t>passing</w:t>
      </w:r>
      <w:r>
        <w:rPr>
          <w:spacing w:val="-5"/>
        </w:rPr>
        <w:t xml:space="preserve"> 151</w:t>
      </w:r>
    </w:p>
    <w:p w14:paraId="4CB62081" w14:textId="77777777" w:rsidR="00E365C4" w:rsidRDefault="00000000">
      <w:pPr>
        <w:ind w:right="353"/>
        <w:rPr>
          <w:rFonts w:ascii="Segoe UI"/>
          <w:sz w:val="18"/>
        </w:rPr>
      </w:pPr>
      <w:r>
        <w:rPr>
          <w:rFonts w:ascii="Segoe UI"/>
          <w:sz w:val="18"/>
        </w:rPr>
        <w:t>Special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Education</w:t>
      </w:r>
      <w:r>
        <w:rPr>
          <w:rFonts w:ascii="Segoe UI"/>
          <w:spacing w:val="-4"/>
          <w:sz w:val="18"/>
        </w:rPr>
        <w:t xml:space="preserve"> </w:t>
      </w:r>
      <w:r>
        <w:rPr>
          <w:rFonts w:ascii="Segoe UI"/>
          <w:sz w:val="18"/>
        </w:rPr>
        <w:t>(advanced): Early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Childhood,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5692,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passing</w:t>
      </w:r>
      <w:r>
        <w:rPr>
          <w:rFonts w:ascii="Segoe UI"/>
          <w:spacing w:val="-1"/>
          <w:sz w:val="18"/>
        </w:rPr>
        <w:t xml:space="preserve"> </w:t>
      </w:r>
      <w:r>
        <w:rPr>
          <w:rFonts w:ascii="Segoe UI"/>
          <w:sz w:val="18"/>
        </w:rPr>
        <w:t>159;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Education</w:t>
      </w:r>
      <w:r>
        <w:rPr>
          <w:rFonts w:ascii="Segoe UI"/>
          <w:spacing w:val="-4"/>
          <w:sz w:val="18"/>
        </w:rPr>
        <w:t xml:space="preserve"> </w:t>
      </w:r>
      <w:r>
        <w:rPr>
          <w:rFonts w:ascii="Segoe UI"/>
          <w:sz w:val="18"/>
        </w:rPr>
        <w:t>of</w:t>
      </w:r>
      <w:r>
        <w:rPr>
          <w:rFonts w:ascii="Segoe UI"/>
          <w:spacing w:val="-1"/>
          <w:sz w:val="18"/>
        </w:rPr>
        <w:t xml:space="preserve"> </w:t>
      </w:r>
      <w:r>
        <w:rPr>
          <w:rFonts w:ascii="Segoe UI"/>
          <w:sz w:val="18"/>
        </w:rPr>
        <w:t>DHH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students,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5272,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160;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Teaching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students</w:t>
      </w:r>
      <w:r>
        <w:rPr>
          <w:rFonts w:ascii="Segoe UI"/>
          <w:spacing w:val="-2"/>
          <w:sz w:val="18"/>
        </w:rPr>
        <w:t xml:space="preserve"> </w:t>
      </w:r>
      <w:r>
        <w:rPr>
          <w:rFonts w:ascii="Segoe UI"/>
          <w:sz w:val="18"/>
        </w:rPr>
        <w:t>with</w:t>
      </w:r>
      <w:r>
        <w:rPr>
          <w:rFonts w:ascii="Segoe UI"/>
          <w:spacing w:val="-4"/>
          <w:sz w:val="18"/>
        </w:rPr>
        <w:t xml:space="preserve"> </w:t>
      </w:r>
      <w:r>
        <w:rPr>
          <w:rFonts w:ascii="Segoe UI"/>
          <w:sz w:val="18"/>
        </w:rPr>
        <w:t>BD/ED, 5322, passing 154; Teaching students with ID, 5322, passing 156; Teaching students with LD, 5383, passing 151</w:t>
      </w:r>
    </w:p>
    <w:p w14:paraId="0209C0EB" w14:textId="77777777" w:rsidR="00E365C4" w:rsidRDefault="00E365C4">
      <w:pPr>
        <w:pStyle w:val="BodyText"/>
        <w:rPr>
          <w:rFonts w:ascii="Segoe UI"/>
          <w:sz w:val="18"/>
        </w:rPr>
      </w:pPr>
    </w:p>
    <w:p w14:paraId="4B3AB8DC" w14:textId="77777777" w:rsidR="00E365C4" w:rsidRDefault="00000000">
      <w:pPr>
        <w:spacing w:before="1"/>
      </w:pPr>
      <w:r>
        <w:rPr>
          <w:b/>
        </w:rPr>
        <w:t>Timeframe</w:t>
      </w:r>
      <w:r>
        <w:rPr>
          <w:b/>
          <w:spacing w:val="-7"/>
        </w:rPr>
        <w:t xml:space="preserve"> </w:t>
      </w:r>
      <w:r>
        <w:rPr>
          <w:b/>
        </w:rPr>
        <w:t>Completed:</w:t>
      </w:r>
      <w:r>
        <w:rPr>
          <w:b/>
          <w:spacing w:val="-3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teaching</w:t>
      </w:r>
    </w:p>
    <w:p w14:paraId="26D2A053" w14:textId="77777777" w:rsidR="00E365C4" w:rsidRDefault="00000000">
      <w:r>
        <w:rPr>
          <w:b/>
        </w:rPr>
        <w:t>Assessor</w:t>
      </w:r>
      <w:r>
        <w:t>:</w:t>
      </w:r>
      <w:r>
        <w:rPr>
          <w:spacing w:val="-6"/>
        </w:rPr>
        <w:t xml:space="preserve"> </w:t>
      </w:r>
      <w:r>
        <w:rPr>
          <w:spacing w:val="-5"/>
        </w:rPr>
        <w:t>ETS</w:t>
      </w:r>
    </w:p>
    <w:p w14:paraId="795D56CE" w14:textId="77777777" w:rsidR="00E365C4" w:rsidRDefault="00000000">
      <w:pPr>
        <w:spacing w:before="266"/>
      </w:pP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Collection:</w:t>
      </w:r>
      <w:r>
        <w:rPr>
          <w:b/>
          <w:spacing w:val="-4"/>
        </w:rPr>
        <w:t xml:space="preserve"> </w:t>
      </w:r>
      <w:r>
        <w:t>TC</w:t>
      </w:r>
      <w:r>
        <w:rPr>
          <w:spacing w:val="-3"/>
        </w:rPr>
        <w:t xml:space="preserve"> </w:t>
      </w:r>
      <w:r>
        <w:t>scores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ETS</w:t>
      </w:r>
      <w:r>
        <w:rPr>
          <w:spacing w:val="-3"/>
        </w:rPr>
        <w:t xml:space="preserve"> </w:t>
      </w:r>
      <w:r>
        <w:rPr>
          <w:spacing w:val="-2"/>
        </w:rPr>
        <w:t>portal</w:t>
      </w:r>
    </w:p>
    <w:p w14:paraId="0CD8280E" w14:textId="77777777" w:rsidR="00E365C4" w:rsidRDefault="00E365C4">
      <w:pPr>
        <w:pStyle w:val="BodyText"/>
        <w:spacing w:before="1"/>
      </w:pPr>
    </w:p>
    <w:p w14:paraId="5B856771" w14:textId="68776D2F" w:rsidR="00E365C4" w:rsidRDefault="00000000">
      <w:pPr>
        <w:pStyle w:val="BodyText"/>
      </w:pP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Display:</w:t>
      </w:r>
      <w:r>
        <w:rPr>
          <w:b/>
          <w:spacing w:val="-2"/>
        </w:rPr>
        <w:t xml:space="preserve"> </w:t>
      </w:r>
      <w:r>
        <w:t>Trend</w:t>
      </w:r>
      <w:r>
        <w:rPr>
          <w:spacing w:val="-4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(</w:t>
      </w:r>
      <w:r w:rsidR="00174443">
        <w:t>4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aggregated), TLP aggregated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rates;</w:t>
      </w:r>
      <w:r>
        <w:rPr>
          <w:spacing w:val="-3"/>
        </w:rPr>
        <w:t xml:space="preserve"> </w:t>
      </w:r>
      <w:r w:rsidR="00174443">
        <w:t>pass rates</w:t>
      </w:r>
      <w:r>
        <w:t xml:space="preserve"> disaggregated by program (low enrolled programs are aggregated at the point an n=5 or greater occurs)</w:t>
      </w:r>
    </w:p>
    <w:p w14:paraId="27DE4965" w14:textId="77777777" w:rsidR="00E365C4" w:rsidRDefault="00E365C4">
      <w:pPr>
        <w:pStyle w:val="BodyText"/>
        <w:spacing w:before="1"/>
      </w:pPr>
    </w:p>
    <w:p w14:paraId="15B27E63" w14:textId="77777777" w:rsidR="00E365C4" w:rsidRDefault="00000000">
      <w:pPr>
        <w:pStyle w:val="Heading2"/>
      </w:pPr>
      <w:r>
        <w:t>Standards</w:t>
      </w:r>
      <w:r>
        <w:rPr>
          <w:spacing w:val="-6"/>
        </w:rPr>
        <w:t xml:space="preserve"> </w:t>
      </w:r>
      <w:r>
        <w:rPr>
          <w:spacing w:val="-2"/>
        </w:rPr>
        <w:t>Measured:</w:t>
      </w:r>
    </w:p>
    <w:p w14:paraId="7BA75582" w14:textId="77777777" w:rsidR="00E365C4" w:rsidRDefault="00000000">
      <w:pPr>
        <w:pStyle w:val="BodyText"/>
      </w:pPr>
      <w:r>
        <w:t>CAEP</w:t>
      </w:r>
      <w:r>
        <w:rPr>
          <w:spacing w:val="-4"/>
        </w:rPr>
        <w:t xml:space="preserve"> </w:t>
      </w:r>
      <w:r>
        <w:t>1.2,</w:t>
      </w:r>
      <w:r>
        <w:rPr>
          <w:spacing w:val="-3"/>
        </w:rPr>
        <w:t xml:space="preserve"> </w:t>
      </w:r>
      <w:r>
        <w:t>3.3,</w:t>
      </w:r>
      <w:r>
        <w:rPr>
          <w:spacing w:val="-2"/>
        </w:rPr>
        <w:t xml:space="preserve"> </w:t>
      </w:r>
      <w:r>
        <w:t>INTASC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5D88493F" w14:textId="77777777" w:rsidR="00E365C4" w:rsidRDefault="00E365C4">
      <w:pPr>
        <w:pStyle w:val="BodyText"/>
      </w:pPr>
    </w:p>
    <w:p w14:paraId="506EDAD0" w14:textId="77777777" w:rsidR="00E365C4" w:rsidRDefault="00000000">
      <w:r>
        <w:rPr>
          <w:b/>
        </w:rPr>
        <w:t>Benchmark</w:t>
      </w:r>
      <w:r>
        <w:t>:</w:t>
      </w:r>
      <w:r>
        <w:rPr>
          <w:spacing w:val="-6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rPr>
          <w:spacing w:val="-4"/>
        </w:rPr>
        <w:t>rates</w:t>
      </w:r>
    </w:p>
    <w:p w14:paraId="47CD511A" w14:textId="77777777" w:rsidR="00E365C4" w:rsidRDefault="00000000">
      <w:pPr>
        <w:spacing w:before="267"/>
      </w:pPr>
      <w:r>
        <w:rPr>
          <w:b/>
        </w:rPr>
        <w:t>Target</w:t>
      </w:r>
      <w:r>
        <w:t>:</w:t>
      </w:r>
      <w:r>
        <w:rPr>
          <w:spacing w:val="-5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rPr>
          <w:spacing w:val="-2"/>
        </w:rPr>
        <w:t>rates</w:t>
      </w:r>
    </w:p>
    <w:p w14:paraId="2AAD2FBC" w14:textId="77777777" w:rsidR="00E365C4" w:rsidRDefault="00E365C4">
      <w:pPr>
        <w:pStyle w:val="BodyText"/>
        <w:spacing w:before="1"/>
      </w:pPr>
    </w:p>
    <w:p w14:paraId="510CF83E" w14:textId="77777777" w:rsidR="00E365C4" w:rsidRDefault="00000000">
      <w:pPr>
        <w:pStyle w:val="Heading2"/>
        <w:rPr>
          <w:b w:val="0"/>
        </w:rPr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Analysis</w:t>
      </w:r>
      <w:r>
        <w:rPr>
          <w:b w:val="0"/>
          <w:spacing w:val="-2"/>
        </w:rPr>
        <w:t>:</w:t>
      </w:r>
    </w:p>
    <w:p w14:paraId="799C3E28" w14:textId="091A30B5" w:rsidR="00E365C4" w:rsidRDefault="00000000">
      <w:pPr>
        <w:pStyle w:val="BodyText"/>
      </w:pPr>
      <w:r>
        <w:t>*TLP</w:t>
      </w:r>
      <w:r>
        <w:rPr>
          <w:spacing w:val="-2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(trend</w:t>
      </w:r>
      <w:r>
        <w:rPr>
          <w:spacing w:val="-5"/>
        </w:rPr>
        <w:t xml:space="preserve"> </w:t>
      </w:r>
      <w:r>
        <w:t>line,</w:t>
      </w:r>
      <w:r>
        <w:rPr>
          <w:spacing w:val="-5"/>
        </w:rPr>
        <w:t xml:space="preserve"> </w:t>
      </w:r>
      <w:r>
        <w:t>f</w:t>
      </w:r>
      <w:r w:rsidR="00174443">
        <w:t>ive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data)</w:t>
      </w:r>
      <w:r w:rsidR="00455C7F">
        <w:rPr>
          <w:spacing w:val="-2"/>
        </w:rPr>
        <w:t xml:space="preserve"> </w:t>
      </w:r>
    </w:p>
    <w:p w14:paraId="7A098A5A" w14:textId="238DBB15" w:rsidR="00E365C4" w:rsidRDefault="00000000">
      <w:pPr>
        <w:pStyle w:val="BodyText"/>
      </w:pPr>
      <w:r>
        <w:t>*TLP</w:t>
      </w:r>
      <w:r>
        <w:rPr>
          <w:spacing w:val="-6"/>
        </w:rPr>
        <w:t xml:space="preserve"> </w:t>
      </w:r>
      <w:r>
        <w:t>disaggregated</w:t>
      </w:r>
      <w:r>
        <w:rPr>
          <w:spacing w:val="-4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program for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(202</w:t>
      </w:r>
      <w:r w:rsidR="00174443">
        <w:t>4</w:t>
      </w:r>
      <w:r>
        <w:t>-</w:t>
      </w:r>
      <w:r>
        <w:rPr>
          <w:spacing w:val="-2"/>
        </w:rPr>
        <w:t>202</w:t>
      </w:r>
      <w:r w:rsidR="00174443">
        <w:rPr>
          <w:spacing w:val="-2"/>
        </w:rPr>
        <w:t>5</w:t>
      </w:r>
      <w:r>
        <w:rPr>
          <w:spacing w:val="-2"/>
        </w:rPr>
        <w:t>)</w:t>
      </w:r>
    </w:p>
    <w:p w14:paraId="11931FAC" w14:textId="77777777" w:rsidR="0001594A" w:rsidRDefault="0001594A" w:rsidP="0001594A">
      <w:pPr>
        <w:pStyle w:val="BodyText"/>
      </w:pPr>
      <w:r>
        <w:t xml:space="preserve">                                        </w:t>
      </w:r>
    </w:p>
    <w:p w14:paraId="1A87FCEC" w14:textId="0AABF138" w:rsidR="00174443" w:rsidRDefault="0001594A" w:rsidP="0001594A">
      <w:pPr>
        <w:pStyle w:val="BodyText"/>
      </w:pPr>
      <w:r>
        <w:t xml:space="preserve">                                                        </w:t>
      </w:r>
      <w:r w:rsidR="00174443">
        <w:t xml:space="preserve">TLP Aggregated </w:t>
      </w:r>
      <w:r w:rsidR="00A67DCC">
        <w:t xml:space="preserve">PRAXIS II </w:t>
      </w:r>
      <w:r w:rsidR="00174443">
        <w:t>Pass Rates, 2021-2025</w:t>
      </w:r>
    </w:p>
    <w:p w14:paraId="296A0874" w14:textId="77777777" w:rsidR="0001594A" w:rsidRDefault="0001594A" w:rsidP="00174443">
      <w:pPr>
        <w:pStyle w:val="BodyText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</w:tblGrid>
      <w:tr w:rsidR="00455C7F" w14:paraId="25ED8FB5" w14:textId="77777777" w:rsidTr="00174443">
        <w:tc>
          <w:tcPr>
            <w:tcW w:w="1896" w:type="dxa"/>
          </w:tcPr>
          <w:p w14:paraId="2B1093C1" w14:textId="77777777" w:rsidR="00455C7F" w:rsidRDefault="00455C7F">
            <w:pPr>
              <w:pStyle w:val="BodyText"/>
            </w:pPr>
          </w:p>
        </w:tc>
        <w:tc>
          <w:tcPr>
            <w:tcW w:w="1896" w:type="dxa"/>
          </w:tcPr>
          <w:p w14:paraId="36010DEF" w14:textId="555AFAE5" w:rsidR="00455C7F" w:rsidRDefault="00455C7F">
            <w:pPr>
              <w:pStyle w:val="BodyText"/>
            </w:pPr>
            <w:r>
              <w:t>2021-2022</w:t>
            </w:r>
          </w:p>
        </w:tc>
        <w:tc>
          <w:tcPr>
            <w:tcW w:w="1896" w:type="dxa"/>
          </w:tcPr>
          <w:p w14:paraId="618053DA" w14:textId="77777273" w:rsidR="00455C7F" w:rsidRDefault="00455C7F">
            <w:pPr>
              <w:pStyle w:val="BodyText"/>
            </w:pPr>
            <w:r>
              <w:t>2022-2023</w:t>
            </w:r>
          </w:p>
        </w:tc>
        <w:tc>
          <w:tcPr>
            <w:tcW w:w="1896" w:type="dxa"/>
          </w:tcPr>
          <w:p w14:paraId="131DBDB8" w14:textId="6A029C7B" w:rsidR="00455C7F" w:rsidRDefault="00455C7F">
            <w:pPr>
              <w:pStyle w:val="BodyText"/>
            </w:pPr>
            <w:r>
              <w:t>2023-2024</w:t>
            </w:r>
          </w:p>
        </w:tc>
        <w:tc>
          <w:tcPr>
            <w:tcW w:w="1896" w:type="dxa"/>
          </w:tcPr>
          <w:p w14:paraId="7704086B" w14:textId="23B77139" w:rsidR="00455C7F" w:rsidRDefault="00455C7F">
            <w:pPr>
              <w:pStyle w:val="BodyText"/>
            </w:pPr>
            <w:r>
              <w:t>2024-2025</w:t>
            </w:r>
          </w:p>
        </w:tc>
      </w:tr>
      <w:tr w:rsidR="00455C7F" w14:paraId="5BEDE00E" w14:textId="77777777" w:rsidTr="00174443">
        <w:tc>
          <w:tcPr>
            <w:tcW w:w="1896" w:type="dxa"/>
          </w:tcPr>
          <w:p w14:paraId="25AECC13" w14:textId="090F5C3C" w:rsidR="00455C7F" w:rsidRDefault="00455C7F">
            <w:pPr>
              <w:pStyle w:val="BodyText"/>
            </w:pPr>
            <w:r>
              <w:t>TLP</w:t>
            </w:r>
          </w:p>
        </w:tc>
        <w:tc>
          <w:tcPr>
            <w:tcW w:w="1896" w:type="dxa"/>
          </w:tcPr>
          <w:p w14:paraId="3DD7CD05" w14:textId="39702E76" w:rsidR="00455C7F" w:rsidRDefault="00455C7F">
            <w:pPr>
              <w:pStyle w:val="BodyText"/>
            </w:pPr>
            <w:r>
              <w:t>94.68%</w:t>
            </w:r>
          </w:p>
        </w:tc>
        <w:tc>
          <w:tcPr>
            <w:tcW w:w="1896" w:type="dxa"/>
          </w:tcPr>
          <w:p w14:paraId="1AE103AC" w14:textId="39BA048A" w:rsidR="00455C7F" w:rsidRDefault="00455C7F">
            <w:pPr>
              <w:pStyle w:val="BodyText"/>
            </w:pPr>
            <w:r>
              <w:t>91.86%</w:t>
            </w:r>
          </w:p>
        </w:tc>
        <w:tc>
          <w:tcPr>
            <w:tcW w:w="1896" w:type="dxa"/>
          </w:tcPr>
          <w:p w14:paraId="4556A291" w14:textId="6ED0F41C" w:rsidR="00455C7F" w:rsidRDefault="00455C7F">
            <w:pPr>
              <w:pStyle w:val="BodyText"/>
            </w:pPr>
            <w:r>
              <w:t>86.84%</w:t>
            </w:r>
          </w:p>
        </w:tc>
        <w:tc>
          <w:tcPr>
            <w:tcW w:w="1896" w:type="dxa"/>
          </w:tcPr>
          <w:p w14:paraId="27A780A6" w14:textId="2F6AAEBF" w:rsidR="00455C7F" w:rsidRDefault="00455C7F">
            <w:pPr>
              <w:pStyle w:val="BodyText"/>
            </w:pPr>
            <w:r>
              <w:t>91.55%</w:t>
            </w:r>
          </w:p>
        </w:tc>
      </w:tr>
    </w:tbl>
    <w:p w14:paraId="5DE39405" w14:textId="77777777" w:rsidR="00174443" w:rsidRDefault="00174443">
      <w:pPr>
        <w:pStyle w:val="BodyText"/>
      </w:pPr>
    </w:p>
    <w:p w14:paraId="2657EC08" w14:textId="77777777" w:rsidR="0001594A" w:rsidRDefault="0001594A">
      <w:pPr>
        <w:pStyle w:val="BodyText"/>
      </w:pPr>
    </w:p>
    <w:p w14:paraId="2CE4BFD9" w14:textId="02FF8E8C" w:rsidR="00B262BE" w:rsidRDefault="00A67DCC" w:rsidP="00A67DCC">
      <w:pPr>
        <w:pStyle w:val="BodyText"/>
      </w:pPr>
      <w:r>
        <w:t xml:space="preserve">                                   </w:t>
      </w:r>
      <w:r w:rsidR="00B262BE">
        <w:t>TLP Aggregated Pass Rate by program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078"/>
        <w:gridCol w:w="1080"/>
        <w:gridCol w:w="2610"/>
      </w:tblGrid>
      <w:tr w:rsidR="00B262BE" w14:paraId="2CEAA2D4" w14:textId="3EF5E544" w:rsidTr="00B262BE">
        <w:tc>
          <w:tcPr>
            <w:tcW w:w="2170" w:type="dxa"/>
          </w:tcPr>
          <w:p w14:paraId="23CA780A" w14:textId="7FD46B9E" w:rsidR="00B262BE" w:rsidRDefault="00B262BE" w:rsidP="00B262BE">
            <w:pPr>
              <w:pStyle w:val="BodyText"/>
              <w:jc w:val="center"/>
            </w:pPr>
            <w:r>
              <w:t>Program</w:t>
            </w:r>
          </w:p>
        </w:tc>
        <w:tc>
          <w:tcPr>
            <w:tcW w:w="2078" w:type="dxa"/>
          </w:tcPr>
          <w:p w14:paraId="296BF033" w14:textId="04CE0997" w:rsidR="00B262BE" w:rsidRDefault="00B262BE" w:rsidP="00B262BE">
            <w:pPr>
              <w:pStyle w:val="BodyText"/>
            </w:pPr>
            <w:r>
              <w:t>Pass rate</w:t>
            </w:r>
          </w:p>
        </w:tc>
        <w:tc>
          <w:tcPr>
            <w:tcW w:w="1080" w:type="dxa"/>
          </w:tcPr>
          <w:p w14:paraId="0F673959" w14:textId="5FC5B5AE" w:rsidR="00B262BE" w:rsidRDefault="00B262BE" w:rsidP="00B262BE">
            <w:pPr>
              <w:pStyle w:val="BodyText"/>
            </w:pPr>
            <w:r>
              <w:t>n=</w:t>
            </w:r>
          </w:p>
        </w:tc>
        <w:tc>
          <w:tcPr>
            <w:tcW w:w="2610" w:type="dxa"/>
          </w:tcPr>
          <w:p w14:paraId="7A694907" w14:textId="5AA1E1FB" w:rsidR="00B262BE" w:rsidRDefault="00B262BE" w:rsidP="00B262BE">
            <w:pPr>
              <w:pStyle w:val="BodyText"/>
            </w:pPr>
            <w:r>
              <w:t>Years aggregated</w:t>
            </w:r>
          </w:p>
        </w:tc>
      </w:tr>
      <w:tr w:rsidR="00B262BE" w14:paraId="328DD436" w14:textId="34237DE4" w:rsidTr="00B262BE">
        <w:tc>
          <w:tcPr>
            <w:tcW w:w="2170" w:type="dxa"/>
          </w:tcPr>
          <w:p w14:paraId="407571BD" w14:textId="2386C40D" w:rsidR="00B262BE" w:rsidRDefault="00B262BE" w:rsidP="00B262BE">
            <w:pPr>
              <w:pStyle w:val="BodyText"/>
              <w:jc w:val="center"/>
            </w:pPr>
            <w:r>
              <w:t>Art Education</w:t>
            </w:r>
          </w:p>
        </w:tc>
        <w:tc>
          <w:tcPr>
            <w:tcW w:w="2078" w:type="dxa"/>
          </w:tcPr>
          <w:p w14:paraId="74992783" w14:textId="77777777" w:rsidR="00B262BE" w:rsidRDefault="00B262BE" w:rsidP="00B262BE">
            <w:pPr>
              <w:pStyle w:val="BodyText"/>
              <w:jc w:val="center"/>
            </w:pPr>
          </w:p>
        </w:tc>
        <w:tc>
          <w:tcPr>
            <w:tcW w:w="1080" w:type="dxa"/>
          </w:tcPr>
          <w:p w14:paraId="234631D3" w14:textId="2FDF0633" w:rsidR="00B262BE" w:rsidRDefault="00B262BE" w:rsidP="00B262BE">
            <w:pPr>
              <w:pStyle w:val="BodyText"/>
              <w:jc w:val="center"/>
            </w:pPr>
            <w:r>
              <w:t>6</w:t>
            </w:r>
          </w:p>
        </w:tc>
        <w:tc>
          <w:tcPr>
            <w:tcW w:w="2610" w:type="dxa"/>
          </w:tcPr>
          <w:p w14:paraId="50A1607B" w14:textId="060FB2AC" w:rsidR="00B262BE" w:rsidRDefault="00B262BE" w:rsidP="00B262BE">
            <w:pPr>
              <w:pStyle w:val="BodyText"/>
              <w:jc w:val="center"/>
            </w:pPr>
            <w:r>
              <w:t>Sp21-Sp 25</w:t>
            </w:r>
          </w:p>
        </w:tc>
      </w:tr>
      <w:tr w:rsidR="00B262BE" w14:paraId="0D51AB6C" w14:textId="59FF218E" w:rsidTr="00B262BE">
        <w:tc>
          <w:tcPr>
            <w:tcW w:w="2170" w:type="dxa"/>
          </w:tcPr>
          <w:p w14:paraId="0612ECC5" w14:textId="5ACF2575" w:rsidR="00B262BE" w:rsidRDefault="00B262BE" w:rsidP="00B262BE">
            <w:pPr>
              <w:pStyle w:val="BodyText"/>
              <w:jc w:val="center"/>
            </w:pPr>
            <w:r>
              <w:t>Composite Science</w:t>
            </w:r>
          </w:p>
        </w:tc>
        <w:tc>
          <w:tcPr>
            <w:tcW w:w="2078" w:type="dxa"/>
          </w:tcPr>
          <w:p w14:paraId="1F11EA2E" w14:textId="5242137D" w:rsidR="00B262BE" w:rsidRDefault="00B262BE" w:rsidP="00B262BE">
            <w:pPr>
              <w:pStyle w:val="BodyText"/>
              <w:jc w:val="center"/>
            </w:pPr>
            <w:r>
              <w:t>--</w:t>
            </w:r>
          </w:p>
        </w:tc>
        <w:tc>
          <w:tcPr>
            <w:tcW w:w="1080" w:type="dxa"/>
          </w:tcPr>
          <w:p w14:paraId="23DFECCC" w14:textId="2FA6DFA8" w:rsidR="00B262BE" w:rsidRDefault="00B262BE" w:rsidP="00B262BE">
            <w:pPr>
              <w:pStyle w:val="BodyText"/>
              <w:jc w:val="center"/>
            </w:pPr>
            <w:r>
              <w:t>--</w:t>
            </w:r>
          </w:p>
        </w:tc>
        <w:tc>
          <w:tcPr>
            <w:tcW w:w="2610" w:type="dxa"/>
          </w:tcPr>
          <w:p w14:paraId="2BB71A61" w14:textId="152B170F" w:rsidR="00B262BE" w:rsidRDefault="00B262BE" w:rsidP="00B262BE">
            <w:pPr>
              <w:pStyle w:val="BodyText"/>
              <w:jc w:val="center"/>
            </w:pPr>
            <w:r>
              <w:t>Cannot yet aggregate</w:t>
            </w:r>
          </w:p>
        </w:tc>
      </w:tr>
      <w:tr w:rsidR="00B262BE" w14:paraId="255ACD2D" w14:textId="2A7BD441" w:rsidTr="00B262BE">
        <w:tc>
          <w:tcPr>
            <w:tcW w:w="2170" w:type="dxa"/>
          </w:tcPr>
          <w:p w14:paraId="112A175E" w14:textId="1BE2A038" w:rsidR="00B262BE" w:rsidRDefault="00B262BE" w:rsidP="00B262BE">
            <w:pPr>
              <w:pStyle w:val="BodyText"/>
              <w:jc w:val="center"/>
            </w:pPr>
            <w:r>
              <w:t>Business Ed</w:t>
            </w:r>
          </w:p>
        </w:tc>
        <w:tc>
          <w:tcPr>
            <w:tcW w:w="2078" w:type="dxa"/>
          </w:tcPr>
          <w:p w14:paraId="16CF2F6B" w14:textId="41D611BE" w:rsidR="00B262BE" w:rsidRDefault="00B262BE" w:rsidP="00B262BE">
            <w:pPr>
              <w:pStyle w:val="BodyText"/>
              <w:jc w:val="center"/>
            </w:pPr>
            <w:r>
              <w:t>100%</w:t>
            </w:r>
          </w:p>
        </w:tc>
        <w:tc>
          <w:tcPr>
            <w:tcW w:w="1080" w:type="dxa"/>
          </w:tcPr>
          <w:p w14:paraId="790B47CB" w14:textId="36C02F65" w:rsidR="00B262BE" w:rsidRDefault="00B262BE" w:rsidP="00B262BE">
            <w:pPr>
              <w:pStyle w:val="BodyText"/>
              <w:jc w:val="center"/>
            </w:pPr>
            <w:r>
              <w:t>n=5</w:t>
            </w:r>
          </w:p>
        </w:tc>
        <w:tc>
          <w:tcPr>
            <w:tcW w:w="2610" w:type="dxa"/>
          </w:tcPr>
          <w:p w14:paraId="6B8A935C" w14:textId="60296F63" w:rsidR="00B262BE" w:rsidRDefault="00B262BE" w:rsidP="00B262BE">
            <w:pPr>
              <w:pStyle w:val="BodyText"/>
              <w:jc w:val="center"/>
            </w:pPr>
            <w:r>
              <w:t>2019-2025</w:t>
            </w:r>
          </w:p>
        </w:tc>
      </w:tr>
      <w:tr w:rsidR="00B262BE" w14:paraId="35A6BA76" w14:textId="3E4410C8" w:rsidTr="00B262BE">
        <w:tc>
          <w:tcPr>
            <w:tcW w:w="2170" w:type="dxa"/>
          </w:tcPr>
          <w:p w14:paraId="277DFEC2" w14:textId="58BEB6C4" w:rsidR="00B262BE" w:rsidRDefault="00B262BE" w:rsidP="00B262BE">
            <w:pPr>
              <w:pStyle w:val="BodyText"/>
              <w:jc w:val="center"/>
            </w:pPr>
            <w:r>
              <w:t>Early Childhood</w:t>
            </w:r>
          </w:p>
        </w:tc>
        <w:tc>
          <w:tcPr>
            <w:tcW w:w="2078" w:type="dxa"/>
          </w:tcPr>
          <w:p w14:paraId="27A30FED" w14:textId="15E22AA5" w:rsidR="00B262BE" w:rsidRDefault="002265D9" w:rsidP="00B262BE">
            <w:pPr>
              <w:pStyle w:val="BodyText"/>
              <w:jc w:val="center"/>
            </w:pPr>
            <w:r>
              <w:t>68</w:t>
            </w:r>
            <w:r w:rsidR="00B262BE">
              <w:t>%</w:t>
            </w:r>
          </w:p>
        </w:tc>
        <w:tc>
          <w:tcPr>
            <w:tcW w:w="1080" w:type="dxa"/>
          </w:tcPr>
          <w:p w14:paraId="43B147EB" w14:textId="6242087F" w:rsidR="00B262BE" w:rsidRDefault="002265D9" w:rsidP="00B262BE">
            <w:pPr>
              <w:pStyle w:val="BodyText"/>
              <w:jc w:val="center"/>
            </w:pPr>
            <w:r>
              <w:t>n=6</w:t>
            </w:r>
          </w:p>
        </w:tc>
        <w:tc>
          <w:tcPr>
            <w:tcW w:w="2610" w:type="dxa"/>
          </w:tcPr>
          <w:p w14:paraId="544492E9" w14:textId="2483D878" w:rsidR="00B262BE" w:rsidRDefault="002265D9" w:rsidP="00B262BE">
            <w:pPr>
              <w:pStyle w:val="BodyText"/>
              <w:jc w:val="center"/>
            </w:pPr>
            <w:proofErr w:type="spellStart"/>
            <w:r>
              <w:t>Sp</w:t>
            </w:r>
            <w:proofErr w:type="spellEnd"/>
            <w:r>
              <w:t xml:space="preserve"> 2024=2025</w:t>
            </w:r>
          </w:p>
        </w:tc>
      </w:tr>
      <w:tr w:rsidR="00B262BE" w14:paraId="4E0CD375" w14:textId="65C4CEB5" w:rsidTr="00B262BE">
        <w:tc>
          <w:tcPr>
            <w:tcW w:w="2170" w:type="dxa"/>
          </w:tcPr>
          <w:p w14:paraId="584BFFA8" w14:textId="7B41FD3B" w:rsidR="00B262BE" w:rsidRDefault="002265D9" w:rsidP="00B262BE">
            <w:pPr>
              <w:pStyle w:val="BodyText"/>
              <w:jc w:val="center"/>
            </w:pPr>
            <w:r>
              <w:t>Elementary Ed</w:t>
            </w:r>
          </w:p>
        </w:tc>
        <w:tc>
          <w:tcPr>
            <w:tcW w:w="2078" w:type="dxa"/>
          </w:tcPr>
          <w:p w14:paraId="769BB21C" w14:textId="19A544E9" w:rsidR="00B262BE" w:rsidRDefault="002265D9" w:rsidP="00B262BE">
            <w:pPr>
              <w:pStyle w:val="BodyText"/>
              <w:jc w:val="center"/>
            </w:pPr>
            <w:r>
              <w:t>88%</w:t>
            </w:r>
          </w:p>
        </w:tc>
        <w:tc>
          <w:tcPr>
            <w:tcW w:w="1080" w:type="dxa"/>
          </w:tcPr>
          <w:p w14:paraId="1F6D6CA0" w14:textId="372055AE" w:rsidR="00B262BE" w:rsidRDefault="002265D9" w:rsidP="00B262BE">
            <w:pPr>
              <w:pStyle w:val="BodyText"/>
              <w:jc w:val="center"/>
            </w:pPr>
            <w:r>
              <w:t>n=25</w:t>
            </w:r>
          </w:p>
        </w:tc>
        <w:tc>
          <w:tcPr>
            <w:tcW w:w="2610" w:type="dxa"/>
          </w:tcPr>
          <w:p w14:paraId="4A3ADC55" w14:textId="2C20ED35" w:rsidR="00B262BE" w:rsidRDefault="002265D9" w:rsidP="00B262BE">
            <w:pPr>
              <w:pStyle w:val="BodyText"/>
              <w:jc w:val="center"/>
            </w:pPr>
            <w:r>
              <w:t>2024-2025</w:t>
            </w:r>
          </w:p>
        </w:tc>
      </w:tr>
      <w:tr w:rsidR="002265D9" w14:paraId="0ABBF570" w14:textId="77777777" w:rsidTr="00B262BE">
        <w:tc>
          <w:tcPr>
            <w:tcW w:w="2170" w:type="dxa"/>
          </w:tcPr>
          <w:p w14:paraId="6639CC3C" w14:textId="65D44231" w:rsidR="002265D9" w:rsidRDefault="002265D9" w:rsidP="00B262BE">
            <w:pPr>
              <w:pStyle w:val="BodyText"/>
              <w:jc w:val="center"/>
            </w:pPr>
            <w:r>
              <w:t>English</w:t>
            </w:r>
          </w:p>
        </w:tc>
        <w:tc>
          <w:tcPr>
            <w:tcW w:w="2078" w:type="dxa"/>
          </w:tcPr>
          <w:p w14:paraId="525D053E" w14:textId="1A316DCA" w:rsidR="002265D9" w:rsidRDefault="002265D9" w:rsidP="00B262BE">
            <w:pPr>
              <w:pStyle w:val="BodyText"/>
              <w:jc w:val="center"/>
            </w:pPr>
            <w:r>
              <w:t>100%</w:t>
            </w:r>
          </w:p>
        </w:tc>
        <w:tc>
          <w:tcPr>
            <w:tcW w:w="1080" w:type="dxa"/>
          </w:tcPr>
          <w:p w14:paraId="559F077E" w14:textId="2BD16529" w:rsidR="002265D9" w:rsidRDefault="002265D9" w:rsidP="00B262BE">
            <w:pPr>
              <w:pStyle w:val="BodyText"/>
              <w:jc w:val="center"/>
            </w:pPr>
            <w:r>
              <w:t>n-5</w:t>
            </w:r>
          </w:p>
        </w:tc>
        <w:tc>
          <w:tcPr>
            <w:tcW w:w="2610" w:type="dxa"/>
          </w:tcPr>
          <w:p w14:paraId="50EF6329" w14:textId="41166461" w:rsidR="002265D9" w:rsidRDefault="002265D9" w:rsidP="00B262BE">
            <w:pPr>
              <w:pStyle w:val="BodyText"/>
              <w:jc w:val="center"/>
            </w:pPr>
            <w:r>
              <w:t>2022-2025</w:t>
            </w:r>
          </w:p>
        </w:tc>
      </w:tr>
      <w:tr w:rsidR="002265D9" w14:paraId="1CBB0956" w14:textId="77777777" w:rsidTr="00B262BE">
        <w:tc>
          <w:tcPr>
            <w:tcW w:w="2170" w:type="dxa"/>
          </w:tcPr>
          <w:p w14:paraId="7603786C" w14:textId="3585E843" w:rsidR="002265D9" w:rsidRDefault="002265D9" w:rsidP="00B262BE">
            <w:pPr>
              <w:pStyle w:val="BodyText"/>
              <w:jc w:val="center"/>
            </w:pPr>
            <w:r>
              <w:t>History</w:t>
            </w:r>
          </w:p>
        </w:tc>
        <w:tc>
          <w:tcPr>
            <w:tcW w:w="2078" w:type="dxa"/>
          </w:tcPr>
          <w:p w14:paraId="7E2FC6FC" w14:textId="0401A03E" w:rsidR="002265D9" w:rsidRDefault="002265D9" w:rsidP="00B262BE">
            <w:pPr>
              <w:pStyle w:val="BodyText"/>
              <w:jc w:val="center"/>
            </w:pPr>
            <w:r>
              <w:t>100%</w:t>
            </w:r>
          </w:p>
        </w:tc>
        <w:tc>
          <w:tcPr>
            <w:tcW w:w="1080" w:type="dxa"/>
          </w:tcPr>
          <w:p w14:paraId="09F1A637" w14:textId="11CBEA0D" w:rsidR="002265D9" w:rsidRDefault="002265D9" w:rsidP="00B262BE">
            <w:pPr>
              <w:pStyle w:val="BodyText"/>
              <w:jc w:val="center"/>
            </w:pPr>
            <w:r>
              <w:t>n=6</w:t>
            </w:r>
          </w:p>
        </w:tc>
        <w:tc>
          <w:tcPr>
            <w:tcW w:w="2610" w:type="dxa"/>
          </w:tcPr>
          <w:p w14:paraId="1682386A" w14:textId="54356AAB" w:rsidR="002265D9" w:rsidRDefault="002265D9" w:rsidP="00B262BE">
            <w:pPr>
              <w:pStyle w:val="BodyText"/>
              <w:jc w:val="center"/>
            </w:pPr>
            <w:r>
              <w:t>2024-2025</w:t>
            </w:r>
          </w:p>
        </w:tc>
      </w:tr>
      <w:tr w:rsidR="002265D9" w14:paraId="25E8B240" w14:textId="77777777" w:rsidTr="00B262BE">
        <w:tc>
          <w:tcPr>
            <w:tcW w:w="2170" w:type="dxa"/>
          </w:tcPr>
          <w:p w14:paraId="3444BC27" w14:textId="378D36D9" w:rsidR="002265D9" w:rsidRDefault="002265D9" w:rsidP="00B262BE">
            <w:pPr>
              <w:pStyle w:val="BodyText"/>
              <w:jc w:val="center"/>
            </w:pPr>
            <w:r>
              <w:t>Music</w:t>
            </w:r>
          </w:p>
        </w:tc>
        <w:tc>
          <w:tcPr>
            <w:tcW w:w="2078" w:type="dxa"/>
          </w:tcPr>
          <w:p w14:paraId="4BF2FE3B" w14:textId="2FC6888C" w:rsidR="002265D9" w:rsidRDefault="002265D9" w:rsidP="00B262BE">
            <w:pPr>
              <w:pStyle w:val="BodyText"/>
              <w:jc w:val="center"/>
            </w:pPr>
            <w:r>
              <w:t>100%</w:t>
            </w:r>
          </w:p>
        </w:tc>
        <w:tc>
          <w:tcPr>
            <w:tcW w:w="1080" w:type="dxa"/>
          </w:tcPr>
          <w:p w14:paraId="44100403" w14:textId="4310CB8F" w:rsidR="002265D9" w:rsidRDefault="002265D9" w:rsidP="00B262BE">
            <w:pPr>
              <w:pStyle w:val="BodyText"/>
              <w:jc w:val="center"/>
            </w:pPr>
            <w:r>
              <w:t>n=7</w:t>
            </w:r>
          </w:p>
        </w:tc>
        <w:tc>
          <w:tcPr>
            <w:tcW w:w="2610" w:type="dxa"/>
          </w:tcPr>
          <w:p w14:paraId="3576B41E" w14:textId="4EFB4FD2" w:rsidR="002265D9" w:rsidRDefault="002265D9" w:rsidP="00B262BE">
            <w:pPr>
              <w:pStyle w:val="BodyText"/>
              <w:jc w:val="center"/>
            </w:pPr>
            <w:r>
              <w:t>2022-2025</w:t>
            </w:r>
          </w:p>
        </w:tc>
      </w:tr>
      <w:tr w:rsidR="002265D9" w14:paraId="55CA5D7E" w14:textId="77777777" w:rsidTr="00B262BE">
        <w:tc>
          <w:tcPr>
            <w:tcW w:w="2170" w:type="dxa"/>
          </w:tcPr>
          <w:p w14:paraId="53B82F93" w14:textId="19A46A44" w:rsidR="002265D9" w:rsidRDefault="002265D9" w:rsidP="00B262BE">
            <w:pPr>
              <w:pStyle w:val="BodyText"/>
              <w:jc w:val="center"/>
            </w:pPr>
            <w:r>
              <w:lastRenderedPageBreak/>
              <w:t>Physical Ed</w:t>
            </w:r>
          </w:p>
        </w:tc>
        <w:tc>
          <w:tcPr>
            <w:tcW w:w="2078" w:type="dxa"/>
          </w:tcPr>
          <w:p w14:paraId="5C0604B9" w14:textId="5C77FE7D" w:rsidR="002265D9" w:rsidRDefault="002265D9" w:rsidP="00B262BE">
            <w:pPr>
              <w:pStyle w:val="BodyText"/>
              <w:jc w:val="center"/>
            </w:pPr>
            <w:r>
              <w:t>83.33%</w:t>
            </w:r>
          </w:p>
        </w:tc>
        <w:tc>
          <w:tcPr>
            <w:tcW w:w="1080" w:type="dxa"/>
          </w:tcPr>
          <w:p w14:paraId="6DF023BE" w14:textId="04E354A6" w:rsidR="002265D9" w:rsidRDefault="002265D9" w:rsidP="00B262BE">
            <w:pPr>
              <w:pStyle w:val="BodyText"/>
              <w:jc w:val="center"/>
            </w:pPr>
            <w:r>
              <w:t>n=6</w:t>
            </w:r>
          </w:p>
        </w:tc>
        <w:tc>
          <w:tcPr>
            <w:tcW w:w="2610" w:type="dxa"/>
          </w:tcPr>
          <w:p w14:paraId="30981780" w14:textId="331E9102" w:rsidR="002265D9" w:rsidRDefault="002265D9" w:rsidP="00B262BE">
            <w:pPr>
              <w:pStyle w:val="BodyText"/>
              <w:jc w:val="center"/>
            </w:pPr>
            <w:r>
              <w:t>Spring 2024-2025</w:t>
            </w:r>
          </w:p>
        </w:tc>
      </w:tr>
      <w:tr w:rsidR="002265D9" w14:paraId="633A7AD5" w14:textId="77777777" w:rsidTr="00B262BE">
        <w:tc>
          <w:tcPr>
            <w:tcW w:w="2170" w:type="dxa"/>
          </w:tcPr>
          <w:p w14:paraId="77A76DD8" w14:textId="0633A939" w:rsidR="002265D9" w:rsidRDefault="002265D9" w:rsidP="00B262BE">
            <w:pPr>
              <w:pStyle w:val="BodyText"/>
              <w:jc w:val="center"/>
            </w:pPr>
            <w:r>
              <w:t>Social Science</w:t>
            </w:r>
          </w:p>
        </w:tc>
        <w:tc>
          <w:tcPr>
            <w:tcW w:w="2078" w:type="dxa"/>
          </w:tcPr>
          <w:p w14:paraId="6D2DDFB1" w14:textId="65AD70F6" w:rsidR="002265D9" w:rsidRDefault="002265D9" w:rsidP="00B262BE">
            <w:pPr>
              <w:pStyle w:val="BodyText"/>
              <w:jc w:val="center"/>
            </w:pPr>
            <w:r>
              <w:t>60%</w:t>
            </w:r>
          </w:p>
        </w:tc>
        <w:tc>
          <w:tcPr>
            <w:tcW w:w="1080" w:type="dxa"/>
          </w:tcPr>
          <w:p w14:paraId="13EB7C9E" w14:textId="05880862" w:rsidR="002265D9" w:rsidRDefault="002265D9" w:rsidP="00B262BE">
            <w:pPr>
              <w:pStyle w:val="BodyText"/>
              <w:jc w:val="center"/>
            </w:pPr>
            <w:r>
              <w:t>n=5</w:t>
            </w:r>
          </w:p>
        </w:tc>
        <w:tc>
          <w:tcPr>
            <w:tcW w:w="2610" w:type="dxa"/>
          </w:tcPr>
          <w:p w14:paraId="4C1881DB" w14:textId="4C121E3E" w:rsidR="002265D9" w:rsidRDefault="002265D9" w:rsidP="00B262BE">
            <w:pPr>
              <w:pStyle w:val="BodyText"/>
              <w:jc w:val="center"/>
            </w:pPr>
            <w:r>
              <w:t>2023-2025</w:t>
            </w:r>
          </w:p>
        </w:tc>
      </w:tr>
      <w:tr w:rsidR="002265D9" w14:paraId="6729EC6E" w14:textId="77777777" w:rsidTr="00B262BE">
        <w:tc>
          <w:tcPr>
            <w:tcW w:w="2170" w:type="dxa"/>
          </w:tcPr>
          <w:p w14:paraId="21BDD55F" w14:textId="662103E7" w:rsidR="002265D9" w:rsidRDefault="002265D9" w:rsidP="00B262BE">
            <w:pPr>
              <w:pStyle w:val="BodyText"/>
              <w:jc w:val="center"/>
            </w:pPr>
            <w:r>
              <w:t>SPED</w:t>
            </w:r>
          </w:p>
        </w:tc>
        <w:tc>
          <w:tcPr>
            <w:tcW w:w="2078" w:type="dxa"/>
          </w:tcPr>
          <w:p w14:paraId="0AAF5E41" w14:textId="0DE06E5A" w:rsidR="002265D9" w:rsidRDefault="002265D9" w:rsidP="00B262BE">
            <w:pPr>
              <w:pStyle w:val="BodyText"/>
              <w:jc w:val="center"/>
            </w:pPr>
            <w:r>
              <w:t>100%</w:t>
            </w:r>
          </w:p>
        </w:tc>
        <w:tc>
          <w:tcPr>
            <w:tcW w:w="1080" w:type="dxa"/>
          </w:tcPr>
          <w:p w14:paraId="04BF94B2" w14:textId="666A4439" w:rsidR="002265D9" w:rsidRDefault="002265D9" w:rsidP="00B262BE">
            <w:pPr>
              <w:pStyle w:val="BodyText"/>
              <w:jc w:val="center"/>
            </w:pPr>
            <w:r>
              <w:t>n=9</w:t>
            </w:r>
          </w:p>
        </w:tc>
        <w:tc>
          <w:tcPr>
            <w:tcW w:w="2610" w:type="dxa"/>
          </w:tcPr>
          <w:p w14:paraId="44B8232A" w14:textId="69872455" w:rsidR="002265D9" w:rsidRDefault="002265D9" w:rsidP="00B262BE">
            <w:pPr>
              <w:pStyle w:val="BodyText"/>
              <w:jc w:val="center"/>
            </w:pPr>
            <w:r>
              <w:t>Spring 2023-2025</w:t>
            </w:r>
          </w:p>
        </w:tc>
      </w:tr>
      <w:tr w:rsidR="002265D9" w14:paraId="10DD9BE5" w14:textId="77777777" w:rsidTr="00B262BE">
        <w:tc>
          <w:tcPr>
            <w:tcW w:w="2170" w:type="dxa"/>
          </w:tcPr>
          <w:p w14:paraId="35D20DD4" w14:textId="111040B8" w:rsidR="002265D9" w:rsidRDefault="002265D9" w:rsidP="00B262BE">
            <w:pPr>
              <w:pStyle w:val="BodyText"/>
              <w:jc w:val="center"/>
            </w:pPr>
            <w:r>
              <w:t>SPED PTP</w:t>
            </w:r>
          </w:p>
        </w:tc>
        <w:tc>
          <w:tcPr>
            <w:tcW w:w="2078" w:type="dxa"/>
          </w:tcPr>
          <w:p w14:paraId="5669583A" w14:textId="2D40C741" w:rsidR="002265D9" w:rsidRDefault="0001594A" w:rsidP="00B262BE">
            <w:pPr>
              <w:pStyle w:val="BodyText"/>
              <w:jc w:val="center"/>
            </w:pPr>
            <w:r>
              <w:t>100%</w:t>
            </w:r>
          </w:p>
        </w:tc>
        <w:tc>
          <w:tcPr>
            <w:tcW w:w="1080" w:type="dxa"/>
          </w:tcPr>
          <w:p w14:paraId="226A9D96" w14:textId="149C1BBB" w:rsidR="002265D9" w:rsidRDefault="0001594A" w:rsidP="00B262BE">
            <w:pPr>
              <w:pStyle w:val="BodyText"/>
              <w:jc w:val="center"/>
            </w:pPr>
            <w:r>
              <w:t>n=21</w:t>
            </w:r>
          </w:p>
        </w:tc>
        <w:tc>
          <w:tcPr>
            <w:tcW w:w="2610" w:type="dxa"/>
          </w:tcPr>
          <w:p w14:paraId="6F2C4846" w14:textId="101E3AA5" w:rsidR="002265D9" w:rsidRDefault="0001594A" w:rsidP="00B262BE">
            <w:pPr>
              <w:pStyle w:val="BodyText"/>
              <w:jc w:val="center"/>
            </w:pPr>
            <w:r>
              <w:t>2024-2025</w:t>
            </w:r>
          </w:p>
        </w:tc>
      </w:tr>
    </w:tbl>
    <w:p w14:paraId="16919E9E" w14:textId="77777777" w:rsidR="00B262BE" w:rsidRDefault="00B262BE" w:rsidP="00B262BE">
      <w:pPr>
        <w:pStyle w:val="BodyText"/>
        <w:jc w:val="center"/>
      </w:pPr>
    </w:p>
    <w:p w14:paraId="32EEE622" w14:textId="77777777" w:rsidR="00E365C4" w:rsidRDefault="00000000">
      <w:pPr>
        <w:pStyle w:val="Heading2"/>
      </w:pPr>
      <w:r>
        <w:t>Data</w:t>
      </w:r>
      <w:r>
        <w:rPr>
          <w:spacing w:val="-2"/>
        </w:rPr>
        <w:t xml:space="preserve"> Interpretation:</w:t>
      </w:r>
    </w:p>
    <w:p w14:paraId="11FF7328" w14:textId="2A18A9D9" w:rsidR="00E365C4" w:rsidRDefault="00000000">
      <w:pPr>
        <w:pStyle w:val="BodyText"/>
        <w:ind w:right="353"/>
      </w:pPr>
      <w:r>
        <w:t>Overall</w:t>
      </w:r>
      <w:r>
        <w:rPr>
          <w:spacing w:val="-4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PRAXIS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tests have</w:t>
      </w:r>
      <w:r>
        <w:rPr>
          <w:spacing w:val="-1"/>
        </w:rPr>
        <w:t xml:space="preserve"> </w:t>
      </w:r>
      <w:r>
        <w:t>fallen</w:t>
      </w:r>
      <w:r>
        <w:rPr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2023.</w:t>
      </w:r>
      <w:r w:rsidR="0001594A">
        <w:t xml:space="preserve"> This year (2024-2025), we are seeing some upward trends in the scores. </w:t>
      </w:r>
      <w:r>
        <w:rPr>
          <w:spacing w:val="40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 Stakeholder committee have examined this</w:t>
      </w:r>
      <w:r>
        <w:rPr>
          <w:spacing w:val="-1"/>
        </w:rPr>
        <w:t xml:space="preserve"> </w:t>
      </w:r>
      <w:r>
        <w:t>data and initiated improvement</w:t>
      </w:r>
      <w:r>
        <w:rPr>
          <w:spacing w:val="-1"/>
        </w:rPr>
        <w:t xml:space="preserve"> </w:t>
      </w:r>
      <w:r>
        <w:t xml:space="preserve">actions including increased review sessions and faculty members taking the tests to assess match to curriculum. </w:t>
      </w:r>
      <w:r w:rsidR="0001594A">
        <w:t xml:space="preserve"> We also initiated a program improvement process to re-examine our entire program starting in Fall 2025. We hope to conclude this process by Fall of 2026.  </w:t>
      </w:r>
      <w:r>
        <w:t>We will continue to monitor these results and the impact of our actions.</w:t>
      </w:r>
    </w:p>
    <w:p w14:paraId="0FF17FFB" w14:textId="4C2CE0EF" w:rsidR="00E365C4" w:rsidRDefault="00000000">
      <w:pPr>
        <w:pStyle w:val="BodyText"/>
        <w:ind w:right="353"/>
      </w:pPr>
      <w:r>
        <w:t xml:space="preserve">All programs meet the target of an 80% pass rate </w:t>
      </w:r>
      <w:proofErr w:type="gramStart"/>
      <w:r>
        <w:t>with the exception of</w:t>
      </w:r>
      <w:proofErr w:type="gramEnd"/>
      <w:r>
        <w:t xml:space="preserve"> Early Childhood Education (</w:t>
      </w:r>
      <w:r w:rsidR="0001594A">
        <w:t>68</w:t>
      </w:r>
      <w:r>
        <w:t>%)</w:t>
      </w:r>
      <w:r w:rsidR="0001594A">
        <w:t xml:space="preserve"> and Social Science (60%). </w:t>
      </w:r>
      <w:r>
        <w:t>These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 w:rsidR="0001594A">
        <w:t>have been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in relation to curriculum content.</w:t>
      </w:r>
    </w:p>
    <w:p w14:paraId="66E8D801" w14:textId="49AEBD26" w:rsidR="00883E9D" w:rsidRDefault="00883E9D" w:rsidP="0001594A">
      <w:pPr>
        <w:spacing w:before="20"/>
      </w:pPr>
    </w:p>
    <w:sectPr w:rsidR="00883E9D">
      <w:pgSz w:w="12240" w:h="15840"/>
      <w:pgMar w:top="12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C4"/>
    <w:rsid w:val="0001594A"/>
    <w:rsid w:val="00113C2B"/>
    <w:rsid w:val="00174443"/>
    <w:rsid w:val="002265D9"/>
    <w:rsid w:val="00455C7F"/>
    <w:rsid w:val="00883E9D"/>
    <w:rsid w:val="00920B36"/>
    <w:rsid w:val="00A67DCC"/>
    <w:rsid w:val="00B262BE"/>
    <w:rsid w:val="00E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D928"/>
  <w15:docId w15:val="{DA47BE5A-3C06-41B6-B6E2-859C4532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table" w:styleId="TableGrid">
    <w:name w:val="Table Grid"/>
    <w:basedOn w:val="TableNormal"/>
    <w:uiPriority w:val="39"/>
    <w:rsid w:val="0017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C8F0-F27F-4264-9B03-48B554E4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2468</Characters>
  <Application>Microsoft Office Word</Application>
  <DocSecurity>0</DocSecurity>
  <Lines>123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Borden-King</dc:creator>
  <cp:lastModifiedBy>Borden-King, Lisa</cp:lastModifiedBy>
  <cp:revision>3</cp:revision>
  <dcterms:created xsi:type="dcterms:W3CDTF">2026-04-19T20:34:00Z</dcterms:created>
  <dcterms:modified xsi:type="dcterms:W3CDTF">2026-04-19T21:04:00Z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5e6f802b-a12d-4be3-8d65-c210d37e28a9</vt:lpwstr>
  </property>
</Properties>
</file>