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FBB67" w14:textId="51EB161C" w:rsidR="00CB7BF0" w:rsidRDefault="78E6FDA6" w:rsidP="25077AC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5077ACA">
        <w:rPr>
          <w:rFonts w:ascii="Times New Roman" w:eastAsia="Times New Roman" w:hAnsi="Times New Roman" w:cs="Times New Roman"/>
          <w:b/>
          <w:bCs/>
          <w:sz w:val="24"/>
          <w:szCs w:val="24"/>
        </w:rPr>
        <w:t>Measure 2: Satisfaction of employers and stakeholder involvement</w:t>
      </w:r>
    </w:p>
    <w:p w14:paraId="54D7F885" w14:textId="0FB67913" w:rsidR="00CB7BF0" w:rsidRDefault="7232AD09" w:rsidP="25077ACA">
      <w:pPr>
        <w:rPr>
          <w:rFonts w:ascii="Times New Roman" w:eastAsia="Times New Roman" w:hAnsi="Times New Roman" w:cs="Times New Roman"/>
          <w:sz w:val="24"/>
          <w:szCs w:val="24"/>
        </w:rPr>
      </w:pPr>
      <w:r w:rsidRPr="25077ACA">
        <w:rPr>
          <w:rFonts w:ascii="Times New Roman" w:eastAsia="Times New Roman" w:hAnsi="Times New Roman" w:cs="Times New Roman"/>
          <w:sz w:val="24"/>
          <w:szCs w:val="24"/>
        </w:rPr>
        <w:t xml:space="preserve">Data Item: </w:t>
      </w:r>
      <w:r w:rsidR="410EEC86" w:rsidRPr="25077ACA">
        <w:rPr>
          <w:rFonts w:ascii="Times New Roman" w:eastAsia="Times New Roman" w:hAnsi="Times New Roman" w:cs="Times New Roman"/>
          <w:sz w:val="24"/>
          <w:szCs w:val="24"/>
        </w:rPr>
        <w:t>Advanced Employer</w:t>
      </w:r>
      <w:r w:rsidRPr="25077ACA">
        <w:rPr>
          <w:rFonts w:ascii="Times New Roman" w:eastAsia="Times New Roman" w:hAnsi="Times New Roman" w:cs="Times New Roman"/>
          <w:sz w:val="24"/>
          <w:szCs w:val="24"/>
        </w:rPr>
        <w:t xml:space="preserve"> Survey </w:t>
      </w:r>
    </w:p>
    <w:p w14:paraId="662419A3" w14:textId="2C010116" w:rsidR="00CB7BF0" w:rsidRDefault="49961DAF" w:rsidP="23E9B2BB">
      <w:pPr>
        <w:rPr>
          <w:rFonts w:ascii="Times New Roman" w:eastAsia="Times New Roman" w:hAnsi="Times New Roman" w:cs="Times New Roman"/>
          <w:sz w:val="24"/>
          <w:szCs w:val="24"/>
        </w:rPr>
      </w:pPr>
      <w:r w:rsidRPr="194AD2D5">
        <w:rPr>
          <w:rFonts w:ascii="Times New Roman" w:eastAsia="Times New Roman" w:hAnsi="Times New Roman" w:cs="Times New Roman"/>
          <w:sz w:val="24"/>
          <w:szCs w:val="24"/>
        </w:rPr>
        <w:t xml:space="preserve">Primary </w:t>
      </w:r>
      <w:r w:rsidR="162B8B93" w:rsidRPr="194AD2D5">
        <w:rPr>
          <w:rFonts w:ascii="Times New Roman" w:eastAsia="Times New Roman" w:hAnsi="Times New Roman" w:cs="Times New Roman"/>
          <w:sz w:val="24"/>
          <w:szCs w:val="24"/>
        </w:rPr>
        <w:t xml:space="preserve">CAEP Standard(s) Assessed: </w:t>
      </w:r>
      <w:r w:rsidR="33393D8A" w:rsidRPr="194AD2D5">
        <w:rPr>
          <w:rFonts w:ascii="Times New Roman" w:eastAsia="Times New Roman" w:hAnsi="Times New Roman" w:cs="Times New Roman"/>
          <w:sz w:val="24"/>
          <w:szCs w:val="24"/>
        </w:rPr>
        <w:t>RA 4.1</w:t>
      </w:r>
    </w:p>
    <w:p w14:paraId="09B07E6C" w14:textId="150E8E53" w:rsidR="00CB7BF0" w:rsidRDefault="27CEEC4D" w:rsidP="23E9B2BB">
      <w:pPr>
        <w:rPr>
          <w:rFonts w:ascii="Times New Roman" w:eastAsia="Times New Roman" w:hAnsi="Times New Roman" w:cs="Times New Roman"/>
          <w:sz w:val="24"/>
          <w:szCs w:val="24"/>
        </w:rPr>
      </w:pPr>
      <w:r w:rsidRPr="48CE38EF">
        <w:rPr>
          <w:rFonts w:ascii="Times New Roman" w:eastAsia="Times New Roman" w:hAnsi="Times New Roman" w:cs="Times New Roman"/>
          <w:sz w:val="24"/>
          <w:szCs w:val="24"/>
        </w:rPr>
        <w:t xml:space="preserve">Collection Timeline: </w:t>
      </w:r>
      <w:r w:rsidR="0C23A350" w:rsidRPr="48CE38EF">
        <w:rPr>
          <w:rFonts w:ascii="Times New Roman" w:eastAsia="Times New Roman" w:hAnsi="Times New Roman" w:cs="Times New Roman"/>
          <w:sz w:val="24"/>
          <w:szCs w:val="24"/>
        </w:rPr>
        <w:t>Within the first year of candidate completi</w:t>
      </w:r>
      <w:r w:rsidR="3B76CAC5" w:rsidRPr="48CE38EF">
        <w:rPr>
          <w:rFonts w:ascii="Times New Roman" w:eastAsia="Times New Roman" w:hAnsi="Times New Roman" w:cs="Times New Roman"/>
          <w:sz w:val="24"/>
          <w:szCs w:val="24"/>
        </w:rPr>
        <w:t>o</w:t>
      </w:r>
      <w:r w:rsidR="0C23A350" w:rsidRPr="48CE38EF"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395A9DDD" w14:textId="298E5396" w:rsidR="00CB7BF0" w:rsidRDefault="7232AD09" w:rsidP="23E9B2BB">
      <w:pPr>
        <w:rPr>
          <w:rFonts w:ascii="Times New Roman" w:eastAsia="Times New Roman" w:hAnsi="Times New Roman" w:cs="Times New Roman"/>
          <w:sz w:val="24"/>
          <w:szCs w:val="24"/>
        </w:rPr>
      </w:pPr>
      <w:r w:rsidRPr="23E9B2BB">
        <w:rPr>
          <w:rFonts w:ascii="Times New Roman" w:eastAsia="Times New Roman" w:hAnsi="Times New Roman" w:cs="Times New Roman"/>
          <w:sz w:val="24"/>
          <w:szCs w:val="24"/>
        </w:rPr>
        <w:t xml:space="preserve">Collection Tool: </w:t>
      </w:r>
      <w:r w:rsidR="1A77F221" w:rsidRPr="23E9B2BB">
        <w:rPr>
          <w:rFonts w:ascii="Times New Roman" w:eastAsia="Times New Roman" w:hAnsi="Times New Roman" w:cs="Times New Roman"/>
          <w:sz w:val="24"/>
          <w:szCs w:val="24"/>
        </w:rPr>
        <w:t>Advanced Employer Survey in Microsoft Forms©</w:t>
      </w:r>
    </w:p>
    <w:p w14:paraId="50CA36DD" w14:textId="0DBAA75C" w:rsidR="00CB7BF0" w:rsidRDefault="162B8B93" w:rsidP="23E9B2BB">
      <w:pPr>
        <w:rPr>
          <w:rFonts w:ascii="Times New Roman" w:eastAsia="Times New Roman" w:hAnsi="Times New Roman" w:cs="Times New Roman"/>
          <w:sz w:val="24"/>
          <w:szCs w:val="24"/>
        </w:rPr>
      </w:pPr>
      <w:r w:rsidRPr="194AD2D5">
        <w:rPr>
          <w:rFonts w:ascii="Times New Roman" w:eastAsia="Times New Roman" w:hAnsi="Times New Roman" w:cs="Times New Roman"/>
          <w:sz w:val="24"/>
          <w:szCs w:val="24"/>
        </w:rPr>
        <w:t xml:space="preserve">Assessors: </w:t>
      </w:r>
      <w:r w:rsidR="6E268CEF" w:rsidRPr="194AD2D5">
        <w:rPr>
          <w:rFonts w:ascii="Times New Roman" w:eastAsia="Times New Roman" w:hAnsi="Times New Roman" w:cs="Times New Roman"/>
          <w:sz w:val="24"/>
          <w:szCs w:val="24"/>
        </w:rPr>
        <w:t>Completer Employer (S</w:t>
      </w:r>
      <w:r w:rsidR="78D769DF" w:rsidRPr="194AD2D5">
        <w:rPr>
          <w:rFonts w:ascii="Times New Roman" w:eastAsia="Times New Roman" w:hAnsi="Times New Roman" w:cs="Times New Roman"/>
          <w:sz w:val="24"/>
          <w:szCs w:val="24"/>
        </w:rPr>
        <w:t xml:space="preserve">pecial </w:t>
      </w:r>
      <w:r w:rsidR="6E268CEF" w:rsidRPr="194AD2D5">
        <w:rPr>
          <w:rFonts w:ascii="Times New Roman" w:eastAsia="Times New Roman" w:hAnsi="Times New Roman" w:cs="Times New Roman"/>
          <w:sz w:val="24"/>
          <w:szCs w:val="24"/>
        </w:rPr>
        <w:t>E</w:t>
      </w:r>
      <w:r w:rsidR="5D4E816F" w:rsidRPr="194AD2D5">
        <w:rPr>
          <w:rFonts w:ascii="Times New Roman" w:eastAsia="Times New Roman" w:hAnsi="Times New Roman" w:cs="Times New Roman"/>
          <w:sz w:val="24"/>
          <w:szCs w:val="24"/>
        </w:rPr>
        <w:t xml:space="preserve">ducation </w:t>
      </w:r>
      <w:r w:rsidR="6E268CEF" w:rsidRPr="194AD2D5">
        <w:rPr>
          <w:rFonts w:ascii="Times New Roman" w:eastAsia="Times New Roman" w:hAnsi="Times New Roman" w:cs="Times New Roman"/>
          <w:sz w:val="24"/>
          <w:szCs w:val="24"/>
        </w:rPr>
        <w:t>A</w:t>
      </w:r>
      <w:r w:rsidR="249FCE4B" w:rsidRPr="194AD2D5">
        <w:rPr>
          <w:rFonts w:ascii="Times New Roman" w:eastAsia="Times New Roman" w:hAnsi="Times New Roman" w:cs="Times New Roman"/>
          <w:sz w:val="24"/>
          <w:szCs w:val="24"/>
        </w:rPr>
        <w:t xml:space="preserve">dministrative </w:t>
      </w:r>
      <w:r w:rsidR="6E268CEF" w:rsidRPr="194AD2D5">
        <w:rPr>
          <w:rFonts w:ascii="Times New Roman" w:eastAsia="Times New Roman" w:hAnsi="Times New Roman" w:cs="Times New Roman"/>
          <w:sz w:val="24"/>
          <w:szCs w:val="24"/>
        </w:rPr>
        <w:t>U</w:t>
      </w:r>
      <w:r w:rsidR="4077ECA9" w:rsidRPr="194AD2D5">
        <w:rPr>
          <w:rFonts w:ascii="Times New Roman" w:eastAsia="Times New Roman" w:hAnsi="Times New Roman" w:cs="Times New Roman"/>
          <w:sz w:val="24"/>
          <w:szCs w:val="24"/>
        </w:rPr>
        <w:t>nit Coordinator</w:t>
      </w:r>
      <w:r w:rsidR="6E268CEF" w:rsidRPr="194AD2D5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="1D3EEE61" w:rsidRPr="194AD2D5">
        <w:rPr>
          <w:rFonts w:ascii="Times New Roman" w:eastAsia="Times New Roman" w:hAnsi="Times New Roman" w:cs="Times New Roman"/>
          <w:sz w:val="24"/>
          <w:szCs w:val="24"/>
        </w:rPr>
        <w:t xml:space="preserve">LEA </w:t>
      </w:r>
      <w:r w:rsidR="6E268CEF" w:rsidRPr="194AD2D5">
        <w:rPr>
          <w:rFonts w:ascii="Times New Roman" w:eastAsia="Times New Roman" w:hAnsi="Times New Roman" w:cs="Times New Roman"/>
          <w:sz w:val="24"/>
          <w:szCs w:val="24"/>
        </w:rPr>
        <w:t>Building Administrator)</w:t>
      </w:r>
    </w:p>
    <w:p w14:paraId="1F12BEFE" w14:textId="6AF1545F" w:rsidR="1F79EFE1" w:rsidRDefault="2454304D" w:rsidP="3EA05744">
      <w:pPr>
        <w:rPr>
          <w:rFonts w:ascii="Times New Roman" w:eastAsia="Times New Roman" w:hAnsi="Times New Roman" w:cs="Times New Roman"/>
          <w:sz w:val="24"/>
          <w:szCs w:val="24"/>
        </w:rPr>
      </w:pPr>
      <w:r w:rsidRPr="194AD2D5">
        <w:rPr>
          <w:rFonts w:ascii="Times New Roman" w:eastAsia="Times New Roman" w:hAnsi="Times New Roman" w:cs="Times New Roman"/>
          <w:sz w:val="24"/>
          <w:szCs w:val="24"/>
        </w:rPr>
        <w:t xml:space="preserve">Target: </w:t>
      </w:r>
      <w:r w:rsidR="5E560B39" w:rsidRPr="194AD2D5">
        <w:rPr>
          <w:rFonts w:ascii="Times New Roman" w:eastAsia="Times New Roman" w:hAnsi="Times New Roman" w:cs="Times New Roman"/>
          <w:sz w:val="24"/>
          <w:szCs w:val="24"/>
        </w:rPr>
        <w:t>M</w:t>
      </w:r>
      <w:r w:rsidRPr="194AD2D5">
        <w:rPr>
          <w:rFonts w:ascii="Times New Roman" w:eastAsia="Times New Roman" w:hAnsi="Times New Roman" w:cs="Times New Roman"/>
          <w:sz w:val="24"/>
          <w:szCs w:val="24"/>
        </w:rPr>
        <w:t>ean of 3.0 or higher</w:t>
      </w:r>
    </w:p>
    <w:p w14:paraId="4C37C06D" w14:textId="78180E66" w:rsidR="00CB7BF0" w:rsidRDefault="7232AD09" w:rsidP="23E9B2BB">
      <w:r w:rsidRPr="23E9B2BB">
        <w:rPr>
          <w:rFonts w:ascii="Times New Roman" w:eastAsia="Times New Roman" w:hAnsi="Times New Roman" w:cs="Times New Roman"/>
          <w:sz w:val="24"/>
          <w:szCs w:val="24"/>
        </w:rPr>
        <w:t xml:space="preserve">P-12 Input: </w:t>
      </w:r>
      <w:r w:rsidR="4595582C" w:rsidRPr="23E9B2BB">
        <w:rPr>
          <w:rFonts w:ascii="Times New Roman" w:eastAsia="Times New Roman" w:hAnsi="Times New Roman" w:cs="Times New Roman"/>
          <w:sz w:val="24"/>
          <w:szCs w:val="24"/>
        </w:rPr>
        <w:t>Advanced TESAC</w:t>
      </w:r>
      <w:r w:rsidRPr="23E9B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AFB7BD" w14:textId="61974B85" w:rsidR="00CB7BF0" w:rsidRDefault="7232AD09" w:rsidP="23E9B2BB">
      <w:r w:rsidRPr="25077ACA">
        <w:rPr>
          <w:rFonts w:ascii="Times New Roman" w:eastAsia="Times New Roman" w:hAnsi="Times New Roman" w:cs="Times New Roman"/>
          <w:sz w:val="24"/>
          <w:szCs w:val="24"/>
        </w:rPr>
        <w:t xml:space="preserve">Reporting Audience: </w:t>
      </w:r>
      <w:r w:rsidR="189ED01F" w:rsidRPr="25077ACA">
        <w:rPr>
          <w:rFonts w:ascii="Times New Roman" w:eastAsia="Times New Roman" w:hAnsi="Times New Roman" w:cs="Times New Roman"/>
          <w:sz w:val="24"/>
          <w:szCs w:val="24"/>
        </w:rPr>
        <w:t>TESAC, TEAC, Graduate School, Department P</w:t>
      </w:r>
      <w:r w:rsidR="7DEC8BC1" w:rsidRPr="25077ACA">
        <w:rPr>
          <w:rFonts w:ascii="Times New Roman" w:eastAsia="Times New Roman" w:hAnsi="Times New Roman" w:cs="Times New Roman"/>
          <w:sz w:val="24"/>
          <w:szCs w:val="24"/>
        </w:rPr>
        <w:t xml:space="preserve">rogram </w:t>
      </w:r>
      <w:r w:rsidR="189ED01F" w:rsidRPr="25077ACA">
        <w:rPr>
          <w:rFonts w:ascii="Times New Roman" w:eastAsia="Times New Roman" w:hAnsi="Times New Roman" w:cs="Times New Roman"/>
          <w:sz w:val="24"/>
          <w:szCs w:val="24"/>
        </w:rPr>
        <w:t>D</w:t>
      </w:r>
      <w:r w:rsidR="68B622B3" w:rsidRPr="25077ACA">
        <w:rPr>
          <w:rFonts w:ascii="Times New Roman" w:eastAsia="Times New Roman" w:hAnsi="Times New Roman" w:cs="Times New Roman"/>
          <w:sz w:val="24"/>
          <w:szCs w:val="24"/>
        </w:rPr>
        <w:t>irector</w:t>
      </w:r>
      <w:r w:rsidR="6C6EC8DC" w:rsidRPr="25077ACA">
        <w:rPr>
          <w:rFonts w:ascii="Times New Roman" w:eastAsia="Times New Roman" w:hAnsi="Times New Roman" w:cs="Times New Roman"/>
          <w:sz w:val="24"/>
          <w:szCs w:val="24"/>
        </w:rPr>
        <w:t xml:space="preserve"> &amp; Faculty</w:t>
      </w:r>
    </w:p>
    <w:p w14:paraId="2DA578FC" w14:textId="0C050761" w:rsidR="2C59DC94" w:rsidRDefault="6B160F63" w:rsidP="25077ACA">
      <w:r w:rsidRPr="194AD2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Advanced Employer Survey Data</w:t>
      </w:r>
    </w:p>
    <w:p w14:paraId="1771FA06" w14:textId="6A353809" w:rsidR="182A4914" w:rsidRDefault="182A4914" w:rsidP="194AD2D5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194AD2D5">
        <w:rPr>
          <w:rFonts w:ascii="Aptos" w:eastAsia="Aptos" w:hAnsi="Aptos" w:cs="Aptos"/>
          <w:color w:val="000000" w:themeColor="text1"/>
          <w:sz w:val="24"/>
          <w:szCs w:val="24"/>
        </w:rPr>
        <w:t>These data were collected using a revised version of the survey piloted in spring 2026. The response scale was 4 = Strongly Agree (Consistently demonstrates); 3 = Agree (Frequently demonstrates); 2 = Disagree (Sometimes demonstrates); 1 = Strongly Disagree (Rarely demonstrates)</w:t>
      </w:r>
    </w:p>
    <w:p w14:paraId="0B126A1F" w14:textId="5B0191C8" w:rsidR="182A4914" w:rsidRDefault="182A4914" w:rsidP="194AD2D5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194AD2D5">
        <w:rPr>
          <w:rFonts w:ascii="Aptos" w:eastAsia="Aptos" w:hAnsi="Aptos" w:cs="Aptos"/>
          <w:color w:val="000000" w:themeColor="text1"/>
          <w:sz w:val="24"/>
          <w:szCs w:val="24"/>
        </w:rPr>
        <w:t>Data are reported by each of the Council for Exceptional Children (CEC) Advanced Standards, overall program impact and employer feedback for continuous improvement.</w:t>
      </w:r>
    </w:p>
    <w:p w14:paraId="57D64738" w14:textId="518A15C1" w:rsidR="182A4914" w:rsidRDefault="182A4914" w:rsidP="194AD2D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194AD2D5">
        <w:rPr>
          <w:rFonts w:ascii="Aptos" w:eastAsia="Aptos" w:hAnsi="Aptos" w:cs="Aptos"/>
          <w:color w:val="000000" w:themeColor="text1"/>
          <w:sz w:val="24"/>
          <w:szCs w:val="24"/>
        </w:rPr>
        <w:t>2024-25 Completer Data (n=6; 60% response rate)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5584"/>
        <w:gridCol w:w="3760"/>
      </w:tblGrid>
      <w:tr w:rsidR="194AD2D5" w14:paraId="7365F329" w14:textId="77777777" w:rsidTr="194AD2D5">
        <w:trPr>
          <w:trHeight w:val="285"/>
        </w:trPr>
        <w:tc>
          <w:tcPr>
            <w:tcW w:w="604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4690E16" w14:textId="085DD0E5" w:rsidR="194AD2D5" w:rsidRDefault="194AD2D5" w:rsidP="194AD2D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Student Learning Goal</w:t>
            </w:r>
          </w:p>
        </w:tc>
        <w:tc>
          <w:tcPr>
            <w:tcW w:w="390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E7E36C" w14:textId="2FFF0522" w:rsidR="194AD2D5" w:rsidRDefault="194AD2D5" w:rsidP="194AD2D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Mean</w:t>
            </w:r>
          </w:p>
        </w:tc>
      </w:tr>
      <w:tr w:rsidR="194AD2D5" w14:paraId="11E283ED" w14:textId="77777777" w:rsidTr="194AD2D5">
        <w:trPr>
          <w:trHeight w:val="285"/>
        </w:trPr>
        <w:tc>
          <w:tcPr>
            <w:tcW w:w="604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DEBCBE3" w14:textId="27BBBC1C" w:rsidR="194AD2D5" w:rsidRDefault="194AD2D5" w:rsidP="194AD2D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CEC 1: Assessment</w:t>
            </w:r>
          </w:p>
          <w:p w14:paraId="694EEAA9" w14:textId="610758A9" w:rsidR="194AD2D5" w:rsidRDefault="194AD2D5" w:rsidP="194AD2D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673B95" w14:textId="47D03005" w:rsidR="194AD2D5" w:rsidRDefault="194AD2D5" w:rsidP="194AD2D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3.46</w:t>
            </w:r>
          </w:p>
        </w:tc>
      </w:tr>
      <w:tr w:rsidR="194AD2D5" w14:paraId="195A7E02" w14:textId="77777777" w:rsidTr="194AD2D5">
        <w:trPr>
          <w:trHeight w:val="285"/>
        </w:trPr>
        <w:tc>
          <w:tcPr>
            <w:tcW w:w="604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74B24E2" w14:textId="1258BC6B" w:rsidR="194AD2D5" w:rsidRDefault="194AD2D5" w:rsidP="194AD2D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CEC 2: Content Knowledge</w:t>
            </w:r>
          </w:p>
          <w:p w14:paraId="49B0AF37" w14:textId="3094994D" w:rsidR="194AD2D5" w:rsidRDefault="194AD2D5" w:rsidP="194AD2D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3B2467" w14:textId="722A65D9" w:rsidR="194AD2D5" w:rsidRDefault="194AD2D5" w:rsidP="194AD2D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3.63</w:t>
            </w:r>
          </w:p>
        </w:tc>
      </w:tr>
      <w:tr w:rsidR="194AD2D5" w14:paraId="58128159" w14:textId="77777777" w:rsidTr="194AD2D5">
        <w:trPr>
          <w:trHeight w:val="285"/>
        </w:trPr>
        <w:tc>
          <w:tcPr>
            <w:tcW w:w="604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56181C5" w14:textId="67392F20" w:rsidR="194AD2D5" w:rsidRDefault="194AD2D5" w:rsidP="194AD2D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CEC 3: Programs, Services &amp; Outcomes</w:t>
            </w:r>
          </w:p>
        </w:tc>
        <w:tc>
          <w:tcPr>
            <w:tcW w:w="39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B5BDB1" w14:textId="48275C8A" w:rsidR="194AD2D5" w:rsidRDefault="194AD2D5" w:rsidP="194AD2D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3.63</w:t>
            </w:r>
          </w:p>
        </w:tc>
      </w:tr>
      <w:tr w:rsidR="194AD2D5" w14:paraId="476AD6CE" w14:textId="77777777" w:rsidTr="194AD2D5">
        <w:trPr>
          <w:trHeight w:val="285"/>
        </w:trPr>
        <w:tc>
          <w:tcPr>
            <w:tcW w:w="604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976A4A5" w14:textId="2B0CAC42" w:rsidR="194AD2D5" w:rsidRDefault="194AD2D5" w:rsidP="194AD2D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CEC 4: Research &amp; Inquiry</w:t>
            </w:r>
          </w:p>
        </w:tc>
        <w:tc>
          <w:tcPr>
            <w:tcW w:w="39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0DFB95" w14:textId="43039AD9" w:rsidR="194AD2D5" w:rsidRDefault="194AD2D5" w:rsidP="194AD2D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3.68</w:t>
            </w:r>
          </w:p>
        </w:tc>
      </w:tr>
      <w:tr w:rsidR="194AD2D5" w14:paraId="29F8206D" w14:textId="77777777" w:rsidTr="194AD2D5">
        <w:trPr>
          <w:trHeight w:val="285"/>
        </w:trPr>
        <w:tc>
          <w:tcPr>
            <w:tcW w:w="604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EEA8A54" w14:textId="73259566" w:rsidR="194AD2D5" w:rsidRDefault="194AD2D5" w:rsidP="194AD2D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CEC 5: Professional &amp; Ethical Practice</w:t>
            </w:r>
          </w:p>
          <w:p w14:paraId="526CFA0D" w14:textId="1C0125EB" w:rsidR="194AD2D5" w:rsidRDefault="194AD2D5" w:rsidP="194AD2D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2257D3" w14:textId="496EEE49" w:rsidR="194AD2D5" w:rsidRDefault="194AD2D5" w:rsidP="194AD2D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3.84</w:t>
            </w:r>
          </w:p>
        </w:tc>
      </w:tr>
      <w:tr w:rsidR="194AD2D5" w14:paraId="526EB6E0" w14:textId="77777777" w:rsidTr="194AD2D5">
        <w:trPr>
          <w:trHeight w:val="285"/>
        </w:trPr>
        <w:tc>
          <w:tcPr>
            <w:tcW w:w="604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C7B5BCF" w14:textId="74B67D8A" w:rsidR="194AD2D5" w:rsidRDefault="194AD2D5" w:rsidP="194AD2D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CEC 6: Leadership &amp; Policy</w:t>
            </w:r>
          </w:p>
          <w:p w14:paraId="7BFCE5A1" w14:textId="40F0AB50" w:rsidR="194AD2D5" w:rsidRDefault="194AD2D5" w:rsidP="194AD2D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B707479" w14:textId="614D4812" w:rsidR="194AD2D5" w:rsidRDefault="194AD2D5" w:rsidP="194AD2D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4.0</w:t>
            </w:r>
          </w:p>
        </w:tc>
      </w:tr>
      <w:tr w:rsidR="194AD2D5" w14:paraId="0F45006D" w14:textId="77777777" w:rsidTr="194AD2D5">
        <w:trPr>
          <w:trHeight w:val="285"/>
        </w:trPr>
        <w:tc>
          <w:tcPr>
            <w:tcW w:w="604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0E66CF3" w14:textId="50925587" w:rsidR="194AD2D5" w:rsidRDefault="194AD2D5" w:rsidP="194AD2D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CEC 7: Collaboration</w:t>
            </w:r>
          </w:p>
          <w:p w14:paraId="3012D873" w14:textId="1B19CBCF" w:rsidR="194AD2D5" w:rsidRDefault="194AD2D5" w:rsidP="194AD2D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F76F97" w14:textId="41C127F2" w:rsidR="194AD2D5" w:rsidRDefault="194AD2D5" w:rsidP="194AD2D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3.79</w:t>
            </w:r>
          </w:p>
        </w:tc>
      </w:tr>
      <w:tr w:rsidR="194AD2D5" w14:paraId="533BBBCF" w14:textId="77777777" w:rsidTr="194AD2D5">
        <w:trPr>
          <w:trHeight w:val="285"/>
        </w:trPr>
        <w:tc>
          <w:tcPr>
            <w:tcW w:w="604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29F0A1F" w14:textId="2023CAE7" w:rsidR="194AD2D5" w:rsidRDefault="194AD2D5" w:rsidP="194AD2D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Completer preparation for advanced responsibilities</w:t>
            </w:r>
          </w:p>
        </w:tc>
        <w:tc>
          <w:tcPr>
            <w:tcW w:w="39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89D90E" w14:textId="6ADC79FD" w:rsidR="194AD2D5" w:rsidRDefault="194AD2D5" w:rsidP="194AD2D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3.67</w:t>
            </w:r>
          </w:p>
        </w:tc>
      </w:tr>
      <w:tr w:rsidR="194AD2D5" w14:paraId="552AC7E2" w14:textId="77777777" w:rsidTr="194AD2D5">
        <w:trPr>
          <w:trHeight w:val="285"/>
        </w:trPr>
        <w:tc>
          <w:tcPr>
            <w:tcW w:w="604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7AA37B8" w14:textId="1C9B9580" w:rsidR="194AD2D5" w:rsidRDefault="194AD2D5" w:rsidP="194AD2D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Completer ability to improve outcomes for </w:t>
            </w:r>
            <w:r w:rsidR="3FBB0ECA"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P12 </w:t>
            </w: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students </w:t>
            </w:r>
          </w:p>
        </w:tc>
        <w:tc>
          <w:tcPr>
            <w:tcW w:w="39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DA10CD" w14:textId="3CD9A488" w:rsidR="194AD2D5" w:rsidRDefault="194AD2D5" w:rsidP="194AD2D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3.83</w:t>
            </w:r>
          </w:p>
        </w:tc>
      </w:tr>
      <w:tr w:rsidR="194AD2D5" w14:paraId="133974E3" w14:textId="77777777" w:rsidTr="194AD2D5">
        <w:trPr>
          <w:trHeight w:val="285"/>
        </w:trPr>
        <w:tc>
          <w:tcPr>
            <w:tcW w:w="604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B76374C" w14:textId="39280B9A" w:rsidR="194AD2D5" w:rsidRDefault="194AD2D5" w:rsidP="194AD2D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lastRenderedPageBreak/>
              <w:t>Program strengths</w:t>
            </w:r>
            <w:r w:rsidR="13B0A017"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(n=6)</w:t>
            </w:r>
          </w:p>
        </w:tc>
        <w:tc>
          <w:tcPr>
            <w:tcW w:w="39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800E55" w14:textId="187AA35C" w:rsidR="194AD2D5" w:rsidRDefault="194AD2D5" w:rsidP="194AD2D5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Confidence</w:t>
            </w:r>
          </w:p>
          <w:p w14:paraId="5606E014" w14:textId="4A2AE861" w:rsidR="194AD2D5" w:rsidRDefault="194AD2D5" w:rsidP="194AD2D5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Individualization</w:t>
            </w:r>
          </w:p>
          <w:p w14:paraId="21D94D70" w14:textId="0B9F37C1" w:rsidR="194AD2D5" w:rsidRDefault="194AD2D5" w:rsidP="194AD2D5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Data-driven instruction</w:t>
            </w:r>
          </w:p>
          <w:p w14:paraId="55557660" w14:textId="7B927B2B" w:rsidR="194AD2D5" w:rsidRDefault="194AD2D5" w:rsidP="194AD2D5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Legal compliance</w:t>
            </w:r>
          </w:p>
          <w:p w14:paraId="54ADD830" w14:textId="4BAD2E82" w:rsidR="194AD2D5" w:rsidRDefault="194AD2D5" w:rsidP="194AD2D5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Collaboration</w:t>
            </w:r>
          </w:p>
          <w:p w14:paraId="1A344F39" w14:textId="7F7A42D5" w:rsidR="194AD2D5" w:rsidRDefault="194AD2D5" w:rsidP="194AD2D5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Breadth and depth of content</w:t>
            </w:r>
          </w:p>
        </w:tc>
      </w:tr>
      <w:tr w:rsidR="194AD2D5" w14:paraId="78B7D887" w14:textId="77777777" w:rsidTr="194AD2D5">
        <w:trPr>
          <w:trHeight w:val="285"/>
        </w:trPr>
        <w:tc>
          <w:tcPr>
            <w:tcW w:w="604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855D785" w14:textId="2F5C02FC" w:rsidR="194AD2D5" w:rsidRDefault="194AD2D5" w:rsidP="194AD2D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Areas for program improvement</w:t>
            </w:r>
            <w:r w:rsidR="06A845A3"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(</w:t>
            </w:r>
            <w:r w:rsidR="28B4D7DD"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n=2</w:t>
            </w:r>
            <w:r w:rsidR="06A845A3"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9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11AF68" w14:textId="4B8C04F0" w:rsidR="194AD2D5" w:rsidRDefault="194AD2D5" w:rsidP="194AD2D5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Behavioral support</w:t>
            </w:r>
          </w:p>
          <w:p w14:paraId="142751D7" w14:textId="28CCE028" w:rsidR="194AD2D5" w:rsidRDefault="194AD2D5" w:rsidP="194AD2D5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Assessment </w:t>
            </w:r>
          </w:p>
        </w:tc>
      </w:tr>
      <w:tr w:rsidR="194AD2D5" w14:paraId="005C682F" w14:textId="77777777" w:rsidTr="194AD2D5">
        <w:trPr>
          <w:trHeight w:val="285"/>
        </w:trPr>
        <w:tc>
          <w:tcPr>
            <w:tcW w:w="604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1342E29" w14:textId="03D52440" w:rsidR="194AD2D5" w:rsidRDefault="194AD2D5" w:rsidP="194AD2D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Comment</w:t>
            </w:r>
            <w:r w:rsidR="784C8632"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s</w:t>
            </w:r>
            <w:r w:rsidR="46079BE6"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(n=1)</w:t>
            </w:r>
          </w:p>
        </w:tc>
        <w:tc>
          <w:tcPr>
            <w:tcW w:w="390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9085A1" w14:textId="598B5F62" w:rsidR="194AD2D5" w:rsidRDefault="194AD2D5" w:rsidP="194AD2D5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4AD2D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I appreciated the relationship between Minot State University and our unit and area schools!</w:t>
            </w:r>
          </w:p>
        </w:tc>
      </w:tr>
    </w:tbl>
    <w:p w14:paraId="2F6B2808" w14:textId="51F0D41D" w:rsidR="194AD2D5" w:rsidRDefault="194AD2D5" w:rsidP="194AD2D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2F525A" w14:textId="5D5095DC" w:rsidR="1CFBF206" w:rsidRDefault="1CFBF206" w:rsidP="25077AC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EA05744">
        <w:rPr>
          <w:rFonts w:ascii="Times New Roman" w:eastAsia="Times New Roman" w:hAnsi="Times New Roman" w:cs="Times New Roman"/>
          <w:b/>
          <w:bCs/>
          <w:sz w:val="24"/>
          <w:szCs w:val="24"/>
        </w:rPr>
        <w:t>Interpretation</w:t>
      </w:r>
    </w:p>
    <w:p w14:paraId="7C6ED87E" w14:textId="771B81FE" w:rsidR="1CFBF206" w:rsidRDefault="77A4F4F6" w:rsidP="3EA05744">
      <w:r w:rsidRPr="194AD2D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7E42A4A1" w:rsidRPr="194AD2D5">
        <w:rPr>
          <w:rFonts w:ascii="Times New Roman" w:eastAsia="Times New Roman" w:hAnsi="Times New Roman" w:cs="Times New Roman"/>
          <w:sz w:val="24"/>
          <w:szCs w:val="24"/>
        </w:rPr>
        <w:t xml:space="preserve">employer satisfaction survey was revised based on CAEP accreditation cycle feedback. The </w:t>
      </w:r>
      <w:r w:rsidR="6F8296C1" w:rsidRPr="194AD2D5">
        <w:rPr>
          <w:rFonts w:ascii="Times New Roman" w:eastAsia="Times New Roman" w:hAnsi="Times New Roman" w:cs="Times New Roman"/>
          <w:sz w:val="24"/>
          <w:szCs w:val="24"/>
        </w:rPr>
        <w:t xml:space="preserve">revised </w:t>
      </w:r>
      <w:r w:rsidRPr="194AD2D5">
        <w:rPr>
          <w:rFonts w:ascii="Times New Roman" w:eastAsia="Times New Roman" w:hAnsi="Times New Roman" w:cs="Times New Roman"/>
          <w:sz w:val="24"/>
          <w:szCs w:val="24"/>
        </w:rPr>
        <w:t>survey was administered in Spring 202</w:t>
      </w:r>
      <w:r w:rsidR="606BF7D2" w:rsidRPr="194AD2D5">
        <w:rPr>
          <w:rFonts w:ascii="Times New Roman" w:eastAsia="Times New Roman" w:hAnsi="Times New Roman" w:cs="Times New Roman"/>
          <w:sz w:val="24"/>
          <w:szCs w:val="24"/>
        </w:rPr>
        <w:t>6</w:t>
      </w:r>
      <w:r w:rsidRPr="194AD2D5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9322D8A" w:rsidRPr="194AD2D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194AD2D5">
        <w:rPr>
          <w:rFonts w:ascii="Times New Roman" w:eastAsia="Times New Roman" w:hAnsi="Times New Roman" w:cs="Times New Roman"/>
          <w:sz w:val="24"/>
          <w:szCs w:val="24"/>
        </w:rPr>
        <w:t>1</w:t>
      </w:r>
      <w:r w:rsidR="01316A5B" w:rsidRPr="194AD2D5">
        <w:rPr>
          <w:rFonts w:ascii="Times New Roman" w:eastAsia="Times New Roman" w:hAnsi="Times New Roman" w:cs="Times New Roman"/>
          <w:sz w:val="24"/>
          <w:szCs w:val="24"/>
        </w:rPr>
        <w:t>0</w:t>
      </w:r>
      <w:r w:rsidRPr="194AD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194AD2D5">
        <w:rPr>
          <w:rFonts w:ascii="Times New Roman" w:eastAsia="Times New Roman" w:hAnsi="Times New Roman" w:cs="Times New Roman"/>
          <w:sz w:val="24"/>
          <w:szCs w:val="24"/>
        </w:rPr>
        <w:t>employers</w:t>
      </w:r>
      <w:proofErr w:type="gramEnd"/>
      <w:r w:rsidR="2743599D" w:rsidRPr="194AD2D5">
        <w:rPr>
          <w:rFonts w:ascii="Times New Roman" w:eastAsia="Times New Roman" w:hAnsi="Times New Roman" w:cs="Times New Roman"/>
          <w:sz w:val="24"/>
          <w:szCs w:val="24"/>
        </w:rPr>
        <w:t xml:space="preserve"> of the program completers during the 2024-25 data cycle. A</w:t>
      </w:r>
      <w:r w:rsidRPr="194AD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4775506" w:rsidRPr="194AD2D5">
        <w:rPr>
          <w:rFonts w:ascii="Times New Roman" w:eastAsia="Times New Roman" w:hAnsi="Times New Roman" w:cs="Times New Roman"/>
          <w:sz w:val="24"/>
          <w:szCs w:val="24"/>
        </w:rPr>
        <w:t>6</w:t>
      </w:r>
      <w:r w:rsidRPr="194AD2D5">
        <w:rPr>
          <w:rFonts w:ascii="Times New Roman" w:eastAsia="Times New Roman" w:hAnsi="Times New Roman" w:cs="Times New Roman"/>
          <w:sz w:val="24"/>
          <w:szCs w:val="24"/>
        </w:rPr>
        <w:t>0% return rat</w:t>
      </w:r>
      <w:r w:rsidR="64F5058F" w:rsidRPr="194AD2D5">
        <w:rPr>
          <w:rFonts w:ascii="Times New Roman" w:eastAsia="Times New Roman" w:hAnsi="Times New Roman" w:cs="Times New Roman"/>
          <w:sz w:val="24"/>
          <w:szCs w:val="24"/>
        </w:rPr>
        <w:t>e was achieved</w:t>
      </w:r>
      <w:r w:rsidRPr="194AD2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5E617DBE" w:rsidRPr="194AD2D5">
        <w:rPr>
          <w:rFonts w:ascii="Times New Roman" w:eastAsia="Times New Roman" w:hAnsi="Times New Roman" w:cs="Times New Roman"/>
          <w:sz w:val="24"/>
          <w:szCs w:val="24"/>
        </w:rPr>
        <w:t xml:space="preserve">Data from the employer satisfaction survey </w:t>
      </w:r>
      <w:r w:rsidR="21CA4308" w:rsidRPr="194AD2D5">
        <w:rPr>
          <w:rFonts w:ascii="Times New Roman" w:eastAsia="Times New Roman" w:hAnsi="Times New Roman" w:cs="Times New Roman"/>
          <w:sz w:val="24"/>
          <w:szCs w:val="24"/>
        </w:rPr>
        <w:t>indicates</w:t>
      </w:r>
      <w:r w:rsidR="5E617DBE" w:rsidRPr="194AD2D5">
        <w:rPr>
          <w:rFonts w:ascii="Times New Roman" w:eastAsia="Times New Roman" w:hAnsi="Times New Roman" w:cs="Times New Roman"/>
          <w:sz w:val="24"/>
          <w:szCs w:val="24"/>
        </w:rPr>
        <w:t xml:space="preserve"> that employers </w:t>
      </w:r>
      <w:r w:rsidR="2DB7EA59" w:rsidRPr="194AD2D5">
        <w:rPr>
          <w:rFonts w:ascii="Times New Roman" w:eastAsia="Times New Roman" w:hAnsi="Times New Roman" w:cs="Times New Roman"/>
          <w:sz w:val="24"/>
          <w:szCs w:val="24"/>
        </w:rPr>
        <w:t>agree or strongly agree</w:t>
      </w:r>
      <w:r w:rsidR="5B4EA493" w:rsidRPr="194AD2D5">
        <w:rPr>
          <w:rFonts w:ascii="Times New Roman" w:eastAsia="Times New Roman" w:hAnsi="Times New Roman" w:cs="Times New Roman"/>
          <w:sz w:val="24"/>
          <w:szCs w:val="24"/>
        </w:rPr>
        <w:t xml:space="preserve"> the program prepared the completer for </w:t>
      </w:r>
      <w:r w:rsidR="5E617DBE" w:rsidRPr="194AD2D5">
        <w:rPr>
          <w:rFonts w:ascii="Times New Roman" w:eastAsia="Times New Roman" w:hAnsi="Times New Roman" w:cs="Times New Roman"/>
          <w:sz w:val="24"/>
          <w:szCs w:val="24"/>
        </w:rPr>
        <w:t xml:space="preserve">all aspects of preparation </w:t>
      </w:r>
      <w:r w:rsidR="4662C7D5" w:rsidRPr="194AD2D5">
        <w:rPr>
          <w:rFonts w:ascii="Times New Roman" w:eastAsia="Times New Roman" w:hAnsi="Times New Roman" w:cs="Times New Roman"/>
          <w:sz w:val="24"/>
          <w:szCs w:val="24"/>
        </w:rPr>
        <w:t xml:space="preserve">set forth in the CEC advanced preparation standards. Mean scores were </w:t>
      </w:r>
      <w:r w:rsidR="7C16E87F" w:rsidRPr="194AD2D5">
        <w:rPr>
          <w:rFonts w:ascii="Times New Roman" w:eastAsia="Times New Roman" w:hAnsi="Times New Roman" w:cs="Times New Roman"/>
          <w:sz w:val="24"/>
          <w:szCs w:val="24"/>
        </w:rPr>
        <w:t xml:space="preserve">at or above the target </w:t>
      </w:r>
      <w:r w:rsidR="06472496" w:rsidRPr="194AD2D5">
        <w:rPr>
          <w:rFonts w:ascii="Times New Roman" w:eastAsia="Times New Roman" w:hAnsi="Times New Roman" w:cs="Times New Roman"/>
          <w:sz w:val="24"/>
          <w:szCs w:val="24"/>
        </w:rPr>
        <w:t xml:space="preserve">for all standards </w:t>
      </w:r>
      <w:r w:rsidR="7C16E87F" w:rsidRPr="194AD2D5">
        <w:rPr>
          <w:rFonts w:ascii="Times New Roman" w:eastAsia="Times New Roman" w:hAnsi="Times New Roman" w:cs="Times New Roman"/>
          <w:sz w:val="24"/>
          <w:szCs w:val="24"/>
        </w:rPr>
        <w:t xml:space="preserve">with the range of scores being 3.46 for Assessment to 4.0 for Leadership &amp; Policy. </w:t>
      </w:r>
      <w:r w:rsidR="5B6F596C" w:rsidRPr="194AD2D5">
        <w:rPr>
          <w:rFonts w:ascii="Times New Roman" w:eastAsia="Times New Roman" w:hAnsi="Times New Roman" w:cs="Times New Roman"/>
          <w:sz w:val="24"/>
          <w:szCs w:val="24"/>
        </w:rPr>
        <w:t xml:space="preserve">Employer ratings were also at or above the target for completer preparation for advanced responsibilities and completer ability to improve outcomes for P12 students with disabilities. </w:t>
      </w:r>
    </w:p>
    <w:sectPr w:rsidR="1CFBF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F7ED"/>
    <w:multiLevelType w:val="hybridMultilevel"/>
    <w:tmpl w:val="6E96ECB2"/>
    <w:lvl w:ilvl="0" w:tplc="06040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EEB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0C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E6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0B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A09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60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E2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027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CF727"/>
    <w:multiLevelType w:val="hybridMultilevel"/>
    <w:tmpl w:val="C840C6FC"/>
    <w:lvl w:ilvl="0" w:tplc="678CE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47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66D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84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C6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C632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09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46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AAA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471D0"/>
    <w:multiLevelType w:val="hybridMultilevel"/>
    <w:tmpl w:val="25849B6C"/>
    <w:lvl w:ilvl="0" w:tplc="0B842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CE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AD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EA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87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E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00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2C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CC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4319C"/>
    <w:multiLevelType w:val="hybridMultilevel"/>
    <w:tmpl w:val="B25E50E2"/>
    <w:lvl w:ilvl="0" w:tplc="82A6A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8F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CA4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E0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E2A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DC3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C3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E2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82E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CA8DE"/>
    <w:multiLevelType w:val="hybridMultilevel"/>
    <w:tmpl w:val="12CC8C58"/>
    <w:lvl w:ilvl="0" w:tplc="7D186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4A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82C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20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4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FE5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83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4D6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E04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87C9C"/>
    <w:multiLevelType w:val="hybridMultilevel"/>
    <w:tmpl w:val="AE8CC53C"/>
    <w:lvl w:ilvl="0" w:tplc="4A68D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6A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DC9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20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86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74F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4B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4D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5CC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877BE"/>
    <w:multiLevelType w:val="hybridMultilevel"/>
    <w:tmpl w:val="7E04CCC2"/>
    <w:lvl w:ilvl="0" w:tplc="CBCCC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5AA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0AB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83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E23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2C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06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A0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41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262762">
    <w:abstractNumId w:val="5"/>
  </w:num>
  <w:num w:numId="2" w16cid:durableId="1830054129">
    <w:abstractNumId w:val="3"/>
  </w:num>
  <w:num w:numId="3" w16cid:durableId="1759324030">
    <w:abstractNumId w:val="0"/>
  </w:num>
  <w:num w:numId="4" w16cid:durableId="1104498407">
    <w:abstractNumId w:val="4"/>
  </w:num>
  <w:num w:numId="5" w16cid:durableId="1661734201">
    <w:abstractNumId w:val="6"/>
  </w:num>
  <w:num w:numId="6" w16cid:durableId="1007295984">
    <w:abstractNumId w:val="1"/>
  </w:num>
  <w:num w:numId="7" w16cid:durableId="608514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8B2C14"/>
    <w:rsid w:val="0018032A"/>
    <w:rsid w:val="002DCB25"/>
    <w:rsid w:val="0037222E"/>
    <w:rsid w:val="003C030A"/>
    <w:rsid w:val="004C5DB3"/>
    <w:rsid w:val="00683C55"/>
    <w:rsid w:val="00846AF5"/>
    <w:rsid w:val="009810FA"/>
    <w:rsid w:val="009C1239"/>
    <w:rsid w:val="00CB7BF0"/>
    <w:rsid w:val="00CD0033"/>
    <w:rsid w:val="00D4DE7B"/>
    <w:rsid w:val="00D73792"/>
    <w:rsid w:val="00E730C9"/>
    <w:rsid w:val="0114C2DF"/>
    <w:rsid w:val="01316A5B"/>
    <w:rsid w:val="01BB5741"/>
    <w:rsid w:val="01C39058"/>
    <w:rsid w:val="01DC3E35"/>
    <w:rsid w:val="023A77FD"/>
    <w:rsid w:val="02724F58"/>
    <w:rsid w:val="0295DDCE"/>
    <w:rsid w:val="02C416B3"/>
    <w:rsid w:val="03B44EB1"/>
    <w:rsid w:val="058F05E3"/>
    <w:rsid w:val="05A40B9A"/>
    <w:rsid w:val="05E95538"/>
    <w:rsid w:val="063CEDFA"/>
    <w:rsid w:val="06472496"/>
    <w:rsid w:val="06A845A3"/>
    <w:rsid w:val="06CC8363"/>
    <w:rsid w:val="06E9065D"/>
    <w:rsid w:val="06FCDDC3"/>
    <w:rsid w:val="06FF1808"/>
    <w:rsid w:val="0849EC22"/>
    <w:rsid w:val="085D2253"/>
    <w:rsid w:val="09322D8A"/>
    <w:rsid w:val="093E6450"/>
    <w:rsid w:val="09694832"/>
    <w:rsid w:val="0A3952D8"/>
    <w:rsid w:val="0A5D4302"/>
    <w:rsid w:val="0A7FC06D"/>
    <w:rsid w:val="0A94E93B"/>
    <w:rsid w:val="0ADA34B1"/>
    <w:rsid w:val="0B0D901D"/>
    <w:rsid w:val="0BED11FF"/>
    <w:rsid w:val="0C16F4F3"/>
    <w:rsid w:val="0C23A350"/>
    <w:rsid w:val="0C8934C0"/>
    <w:rsid w:val="0CD8ACCB"/>
    <w:rsid w:val="0CE1DF9C"/>
    <w:rsid w:val="0CF2BDA3"/>
    <w:rsid w:val="0DC16C00"/>
    <w:rsid w:val="0EB41935"/>
    <w:rsid w:val="0F5D3C61"/>
    <w:rsid w:val="1089A647"/>
    <w:rsid w:val="108D6C39"/>
    <w:rsid w:val="11562FFD"/>
    <w:rsid w:val="11BB0D7F"/>
    <w:rsid w:val="11DCE495"/>
    <w:rsid w:val="12563C17"/>
    <w:rsid w:val="12DD9E3B"/>
    <w:rsid w:val="13102A78"/>
    <w:rsid w:val="13849924"/>
    <w:rsid w:val="13B0A017"/>
    <w:rsid w:val="13C5F723"/>
    <w:rsid w:val="14931A32"/>
    <w:rsid w:val="14ABFAD9"/>
    <w:rsid w:val="14F3915E"/>
    <w:rsid w:val="15046123"/>
    <w:rsid w:val="1535BE28"/>
    <w:rsid w:val="155FD419"/>
    <w:rsid w:val="158C5F8F"/>
    <w:rsid w:val="160C9C59"/>
    <w:rsid w:val="162B8B93"/>
    <w:rsid w:val="182A4914"/>
    <w:rsid w:val="189ED01F"/>
    <w:rsid w:val="194AD2D5"/>
    <w:rsid w:val="1A04ADE0"/>
    <w:rsid w:val="1A6FF6A8"/>
    <w:rsid w:val="1A77F221"/>
    <w:rsid w:val="1A83B78E"/>
    <w:rsid w:val="1AF9B096"/>
    <w:rsid w:val="1B04C9D2"/>
    <w:rsid w:val="1B1B3C5D"/>
    <w:rsid w:val="1BCAF311"/>
    <w:rsid w:val="1BE5E3D0"/>
    <w:rsid w:val="1CFBF206"/>
    <w:rsid w:val="1D3EEE61"/>
    <w:rsid w:val="1DAD778D"/>
    <w:rsid w:val="1DD4951C"/>
    <w:rsid w:val="1E0E05D6"/>
    <w:rsid w:val="1E437CA8"/>
    <w:rsid w:val="1F3C7440"/>
    <w:rsid w:val="1F613784"/>
    <w:rsid w:val="1F6D6F01"/>
    <w:rsid w:val="1F79EFE1"/>
    <w:rsid w:val="1FB28EC7"/>
    <w:rsid w:val="1FEC76C8"/>
    <w:rsid w:val="1FF69B06"/>
    <w:rsid w:val="204DFAC1"/>
    <w:rsid w:val="20730F57"/>
    <w:rsid w:val="20BCFD46"/>
    <w:rsid w:val="20DAD6F6"/>
    <w:rsid w:val="20FAAE93"/>
    <w:rsid w:val="20FE7C3F"/>
    <w:rsid w:val="21926B67"/>
    <w:rsid w:val="21CA4308"/>
    <w:rsid w:val="22576519"/>
    <w:rsid w:val="226B30D9"/>
    <w:rsid w:val="23674D90"/>
    <w:rsid w:val="2376EDEA"/>
    <w:rsid w:val="23E9B2BB"/>
    <w:rsid w:val="2454304D"/>
    <w:rsid w:val="249F5319"/>
    <w:rsid w:val="249FCE4B"/>
    <w:rsid w:val="24EBC2A3"/>
    <w:rsid w:val="25077ACA"/>
    <w:rsid w:val="25394AC2"/>
    <w:rsid w:val="25C45A9F"/>
    <w:rsid w:val="26E0E081"/>
    <w:rsid w:val="27045019"/>
    <w:rsid w:val="27060F83"/>
    <w:rsid w:val="2743599D"/>
    <w:rsid w:val="279DFB10"/>
    <w:rsid w:val="27CEEC4D"/>
    <w:rsid w:val="2826BA15"/>
    <w:rsid w:val="288C4105"/>
    <w:rsid w:val="28B4D7DD"/>
    <w:rsid w:val="28B79099"/>
    <w:rsid w:val="29014DB8"/>
    <w:rsid w:val="29CEFD49"/>
    <w:rsid w:val="29FAC8CD"/>
    <w:rsid w:val="2A62445D"/>
    <w:rsid w:val="2B3F7F8F"/>
    <w:rsid w:val="2B4E2FDD"/>
    <w:rsid w:val="2B7FE81C"/>
    <w:rsid w:val="2BE1223C"/>
    <w:rsid w:val="2C59D0B9"/>
    <w:rsid w:val="2C59DC94"/>
    <w:rsid w:val="2D2932D1"/>
    <w:rsid w:val="2DB7EA59"/>
    <w:rsid w:val="2DE7F218"/>
    <w:rsid w:val="2DFA7238"/>
    <w:rsid w:val="2E289139"/>
    <w:rsid w:val="2E70EE6F"/>
    <w:rsid w:val="2EEAAC93"/>
    <w:rsid w:val="2FEF688E"/>
    <w:rsid w:val="30556176"/>
    <w:rsid w:val="3075DB80"/>
    <w:rsid w:val="30A9EA98"/>
    <w:rsid w:val="30E55F9D"/>
    <w:rsid w:val="30EFA46D"/>
    <w:rsid w:val="31E2798A"/>
    <w:rsid w:val="324F2B05"/>
    <w:rsid w:val="330EA41E"/>
    <w:rsid w:val="33393D8A"/>
    <w:rsid w:val="336A86F5"/>
    <w:rsid w:val="336E7DEF"/>
    <w:rsid w:val="33916A17"/>
    <w:rsid w:val="33B3D8B8"/>
    <w:rsid w:val="33BB8C95"/>
    <w:rsid w:val="346315BA"/>
    <w:rsid w:val="34F1C859"/>
    <w:rsid w:val="35349500"/>
    <w:rsid w:val="3540A799"/>
    <w:rsid w:val="3549858B"/>
    <w:rsid w:val="3638D6DF"/>
    <w:rsid w:val="368C7238"/>
    <w:rsid w:val="37F59F54"/>
    <w:rsid w:val="38771DF6"/>
    <w:rsid w:val="38E48978"/>
    <w:rsid w:val="3906D538"/>
    <w:rsid w:val="39A2663F"/>
    <w:rsid w:val="39B877BD"/>
    <w:rsid w:val="3A12EE57"/>
    <w:rsid w:val="3B76CAC5"/>
    <w:rsid w:val="3B95965B"/>
    <w:rsid w:val="3BD284CA"/>
    <w:rsid w:val="3C10E3B0"/>
    <w:rsid w:val="3C6208C8"/>
    <w:rsid w:val="3C9EADA0"/>
    <w:rsid w:val="3D1728C9"/>
    <w:rsid w:val="3D3166BC"/>
    <w:rsid w:val="3DB7FA9B"/>
    <w:rsid w:val="3DEC1FDD"/>
    <w:rsid w:val="3E47296F"/>
    <w:rsid w:val="3E4F8CE3"/>
    <w:rsid w:val="3EA05744"/>
    <w:rsid w:val="3EEE1A26"/>
    <w:rsid w:val="3EF06CB7"/>
    <w:rsid w:val="3F8B2C14"/>
    <w:rsid w:val="3FBB0ECA"/>
    <w:rsid w:val="3FE424C2"/>
    <w:rsid w:val="4077ECA9"/>
    <w:rsid w:val="40822FDB"/>
    <w:rsid w:val="410EEC86"/>
    <w:rsid w:val="419DAAD5"/>
    <w:rsid w:val="41AB0108"/>
    <w:rsid w:val="41C073BE"/>
    <w:rsid w:val="41DDB637"/>
    <w:rsid w:val="424C4D3A"/>
    <w:rsid w:val="426DBF2A"/>
    <w:rsid w:val="4282319D"/>
    <w:rsid w:val="42D33808"/>
    <w:rsid w:val="43B9D09D"/>
    <w:rsid w:val="44CC5F97"/>
    <w:rsid w:val="44F5304F"/>
    <w:rsid w:val="452B1380"/>
    <w:rsid w:val="459526E0"/>
    <w:rsid w:val="4595582C"/>
    <w:rsid w:val="45DF4BB7"/>
    <w:rsid w:val="45E3C5FE"/>
    <w:rsid w:val="46079BE6"/>
    <w:rsid w:val="4662C7D5"/>
    <w:rsid w:val="46AB88E9"/>
    <w:rsid w:val="47257AE2"/>
    <w:rsid w:val="47527662"/>
    <w:rsid w:val="47A15963"/>
    <w:rsid w:val="485E28FE"/>
    <w:rsid w:val="488A4712"/>
    <w:rsid w:val="48CE38EF"/>
    <w:rsid w:val="48EF66B8"/>
    <w:rsid w:val="49961DAF"/>
    <w:rsid w:val="49D33DFF"/>
    <w:rsid w:val="4A146A20"/>
    <w:rsid w:val="4A5AB3F7"/>
    <w:rsid w:val="4A7FF259"/>
    <w:rsid w:val="4A8B3719"/>
    <w:rsid w:val="4A8D0920"/>
    <w:rsid w:val="4B112C87"/>
    <w:rsid w:val="4B14E78E"/>
    <w:rsid w:val="4B6BDFA5"/>
    <w:rsid w:val="4BCD2EDB"/>
    <w:rsid w:val="4C0C063D"/>
    <w:rsid w:val="4C110FA8"/>
    <w:rsid w:val="4C2AE628"/>
    <w:rsid w:val="4C871539"/>
    <w:rsid w:val="4C9F7D18"/>
    <w:rsid w:val="4D478A86"/>
    <w:rsid w:val="4D559B21"/>
    <w:rsid w:val="4DB0F047"/>
    <w:rsid w:val="5081C9C6"/>
    <w:rsid w:val="5091281B"/>
    <w:rsid w:val="50B48D76"/>
    <w:rsid w:val="515703D7"/>
    <w:rsid w:val="52426804"/>
    <w:rsid w:val="5278F2BC"/>
    <w:rsid w:val="529857B6"/>
    <w:rsid w:val="53B99643"/>
    <w:rsid w:val="549092EA"/>
    <w:rsid w:val="54ACCD05"/>
    <w:rsid w:val="54E2801F"/>
    <w:rsid w:val="55003C25"/>
    <w:rsid w:val="550912F0"/>
    <w:rsid w:val="552752B4"/>
    <w:rsid w:val="559F55C0"/>
    <w:rsid w:val="55A77299"/>
    <w:rsid w:val="55D148B5"/>
    <w:rsid w:val="55ECF71E"/>
    <w:rsid w:val="57008296"/>
    <w:rsid w:val="57767255"/>
    <w:rsid w:val="57B0B6A6"/>
    <w:rsid w:val="57B5D270"/>
    <w:rsid w:val="581970D5"/>
    <w:rsid w:val="598328BE"/>
    <w:rsid w:val="59AE3988"/>
    <w:rsid w:val="59B54136"/>
    <w:rsid w:val="59DC8413"/>
    <w:rsid w:val="5A95B3E6"/>
    <w:rsid w:val="5AA8E5FA"/>
    <w:rsid w:val="5ABE781E"/>
    <w:rsid w:val="5AF78354"/>
    <w:rsid w:val="5B4EA493"/>
    <w:rsid w:val="5B59CB74"/>
    <w:rsid w:val="5B6F596C"/>
    <w:rsid w:val="5CFA0D04"/>
    <w:rsid w:val="5D2185C7"/>
    <w:rsid w:val="5D38DB1E"/>
    <w:rsid w:val="5D4E816F"/>
    <w:rsid w:val="5D604ED2"/>
    <w:rsid w:val="5DF00E67"/>
    <w:rsid w:val="5E560B39"/>
    <w:rsid w:val="5E617DBE"/>
    <w:rsid w:val="5ECB5D1D"/>
    <w:rsid w:val="5EDA7732"/>
    <w:rsid w:val="5F8D4D66"/>
    <w:rsid w:val="606BF7D2"/>
    <w:rsid w:val="609A00BD"/>
    <w:rsid w:val="60AF64AA"/>
    <w:rsid w:val="617A36EB"/>
    <w:rsid w:val="6181F633"/>
    <w:rsid w:val="618A9ED4"/>
    <w:rsid w:val="61BF5537"/>
    <w:rsid w:val="6250C9EA"/>
    <w:rsid w:val="62EA407A"/>
    <w:rsid w:val="630797E7"/>
    <w:rsid w:val="63416D85"/>
    <w:rsid w:val="6370ED5A"/>
    <w:rsid w:val="63ADA146"/>
    <w:rsid w:val="63E63082"/>
    <w:rsid w:val="6432D46D"/>
    <w:rsid w:val="643F2983"/>
    <w:rsid w:val="64775506"/>
    <w:rsid w:val="64F5058F"/>
    <w:rsid w:val="65316376"/>
    <w:rsid w:val="654A6C83"/>
    <w:rsid w:val="655414B4"/>
    <w:rsid w:val="65A11B60"/>
    <w:rsid w:val="65CEA4CE"/>
    <w:rsid w:val="65E31EDC"/>
    <w:rsid w:val="66169AB2"/>
    <w:rsid w:val="664C6654"/>
    <w:rsid w:val="6687B822"/>
    <w:rsid w:val="66918CE0"/>
    <w:rsid w:val="66F3CB68"/>
    <w:rsid w:val="66FF41F8"/>
    <w:rsid w:val="67449D8E"/>
    <w:rsid w:val="67EC77B8"/>
    <w:rsid w:val="68378225"/>
    <w:rsid w:val="68626607"/>
    <w:rsid w:val="686DAC91"/>
    <w:rsid w:val="689D6C9A"/>
    <w:rsid w:val="68B622B3"/>
    <w:rsid w:val="68FFD971"/>
    <w:rsid w:val="6994E429"/>
    <w:rsid w:val="69CD1D15"/>
    <w:rsid w:val="6A38CB39"/>
    <w:rsid w:val="6B160F63"/>
    <w:rsid w:val="6B58B17C"/>
    <w:rsid w:val="6B6F22E7"/>
    <w:rsid w:val="6B8CF781"/>
    <w:rsid w:val="6B96F256"/>
    <w:rsid w:val="6C1D4C32"/>
    <w:rsid w:val="6C66F5D2"/>
    <w:rsid w:val="6C6EC8DC"/>
    <w:rsid w:val="6D138A78"/>
    <w:rsid w:val="6DBED3D2"/>
    <w:rsid w:val="6E057493"/>
    <w:rsid w:val="6E268CEF"/>
    <w:rsid w:val="6ECFD28A"/>
    <w:rsid w:val="6ED1A78B"/>
    <w:rsid w:val="6F8296C1"/>
    <w:rsid w:val="6F93F13C"/>
    <w:rsid w:val="6F95B1E8"/>
    <w:rsid w:val="6FF22A97"/>
    <w:rsid w:val="7008FF24"/>
    <w:rsid w:val="7014EEDC"/>
    <w:rsid w:val="70586ADA"/>
    <w:rsid w:val="70926454"/>
    <w:rsid w:val="70B95E25"/>
    <w:rsid w:val="70E9EC3D"/>
    <w:rsid w:val="7123D907"/>
    <w:rsid w:val="71B07C44"/>
    <w:rsid w:val="71DF8CF9"/>
    <w:rsid w:val="7232AD09"/>
    <w:rsid w:val="72FA2EE8"/>
    <w:rsid w:val="731D6412"/>
    <w:rsid w:val="737A34CC"/>
    <w:rsid w:val="73D1B075"/>
    <w:rsid w:val="744382EF"/>
    <w:rsid w:val="7538DD4D"/>
    <w:rsid w:val="7540E90F"/>
    <w:rsid w:val="755ACB07"/>
    <w:rsid w:val="75ADFF71"/>
    <w:rsid w:val="760FF51A"/>
    <w:rsid w:val="765989DB"/>
    <w:rsid w:val="76AB48B9"/>
    <w:rsid w:val="76FEEE4E"/>
    <w:rsid w:val="7714B62B"/>
    <w:rsid w:val="77A4F4F6"/>
    <w:rsid w:val="77FD3C7C"/>
    <w:rsid w:val="77FE7E60"/>
    <w:rsid w:val="783ED1B2"/>
    <w:rsid w:val="7848AE46"/>
    <w:rsid w:val="784C8632"/>
    <w:rsid w:val="788E72BD"/>
    <w:rsid w:val="78AA8FB6"/>
    <w:rsid w:val="78CE241F"/>
    <w:rsid w:val="78D769DF"/>
    <w:rsid w:val="78E6FDA6"/>
    <w:rsid w:val="78E89FFA"/>
    <w:rsid w:val="78F92BC2"/>
    <w:rsid w:val="792F92DF"/>
    <w:rsid w:val="7971A4AC"/>
    <w:rsid w:val="79E88C51"/>
    <w:rsid w:val="7A4C232E"/>
    <w:rsid w:val="7A627332"/>
    <w:rsid w:val="7AD25361"/>
    <w:rsid w:val="7ADDE37D"/>
    <w:rsid w:val="7B2FDAF1"/>
    <w:rsid w:val="7B92D451"/>
    <w:rsid w:val="7C16E87F"/>
    <w:rsid w:val="7C660E41"/>
    <w:rsid w:val="7D4BFAF4"/>
    <w:rsid w:val="7D99B2E7"/>
    <w:rsid w:val="7DEC8BC1"/>
    <w:rsid w:val="7E42A4A1"/>
    <w:rsid w:val="7E92C87F"/>
    <w:rsid w:val="7EA49D72"/>
    <w:rsid w:val="7EDAA353"/>
    <w:rsid w:val="7EE7CB55"/>
    <w:rsid w:val="7F5558BF"/>
    <w:rsid w:val="7F591DDF"/>
    <w:rsid w:val="7F6DC0C3"/>
    <w:rsid w:val="7F9DAF03"/>
    <w:rsid w:val="7FF6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B2C14"/>
  <w15:chartTrackingRefBased/>
  <w15:docId w15:val="{272A6D87-B2BA-45EF-8905-4B649D4F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uiPriority w:val="1"/>
    <w:rsid w:val="23E9B2B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uiPriority w:val="1"/>
    <w:rsid w:val="23E9B2BB"/>
  </w:style>
  <w:style w:type="character" w:customStyle="1" w:styleId="eop">
    <w:name w:val="eop"/>
    <w:basedOn w:val="DefaultParagraphFont"/>
    <w:uiPriority w:val="1"/>
    <w:rsid w:val="23E9B2BB"/>
  </w:style>
  <w:style w:type="paragraph" w:styleId="ListParagraph">
    <w:name w:val="List Paragraph"/>
    <w:basedOn w:val="Normal"/>
    <w:uiPriority w:val="34"/>
    <w:qFormat/>
    <w:rsid w:val="25077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dd8796f-7b24-46aa-9e8f-57abb592df40">
      <UserInfo>
        <DisplayName/>
        <AccountId xsi:nil="true"/>
        <AccountType/>
      </UserInfo>
    </SharedWithUsers>
    <lcf76f155ced4ddcb4097134ff3c332f xmlns="3312a36c-26c9-422a-92f4-4446ae5352b6">
      <Terms xmlns="http://schemas.microsoft.com/office/infopath/2007/PartnerControls"/>
    </lcf76f155ced4ddcb4097134ff3c332f>
    <TaxCatchAll xmlns="0dd8796f-7b24-46aa-9e8f-57abb592df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7B9E719B0EF48B87DB4309183E4B0" ma:contentTypeVersion="14" ma:contentTypeDescription="Create a new document." ma:contentTypeScope="" ma:versionID="4bd63652d0f41a7054880112394b7e83">
  <xsd:schema xmlns:xsd="http://www.w3.org/2001/XMLSchema" xmlns:xs="http://www.w3.org/2001/XMLSchema" xmlns:p="http://schemas.microsoft.com/office/2006/metadata/properties" xmlns:ns2="3312a36c-26c9-422a-92f4-4446ae5352b6" xmlns:ns3="0dd8796f-7b24-46aa-9e8f-57abb592df40" targetNamespace="http://schemas.microsoft.com/office/2006/metadata/properties" ma:root="true" ma:fieldsID="5aa522fe030704d2b8f9ca0d7962c658" ns2:_="" ns3:_="">
    <xsd:import namespace="3312a36c-26c9-422a-92f4-4446ae5352b6"/>
    <xsd:import namespace="0dd8796f-7b24-46aa-9e8f-57abb592d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2a36c-26c9-422a-92f4-4446ae535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796f-7b24-46aa-9e8f-57abb592d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b43419a-8358-4485-b5b8-e92fdfd0d9a6}" ma:internalName="TaxCatchAll" ma:showField="CatchAllData" ma:web="0dd8796f-7b24-46aa-9e8f-57abb592d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FF1634-056D-42AF-9BF0-3BEC333AAE09}">
  <ds:schemaRefs>
    <ds:schemaRef ds:uri="http://schemas.microsoft.com/office/2006/metadata/properties"/>
    <ds:schemaRef ds:uri="http://schemas.microsoft.com/office/infopath/2007/PartnerControls"/>
    <ds:schemaRef ds:uri="0dd8796f-7b24-46aa-9e8f-57abb592df40"/>
    <ds:schemaRef ds:uri="3312a36c-26c9-422a-92f4-4446ae5352b6"/>
  </ds:schemaRefs>
</ds:datastoreItem>
</file>

<file path=customXml/itemProps2.xml><?xml version="1.0" encoding="utf-8"?>
<ds:datastoreItem xmlns:ds="http://schemas.openxmlformats.org/officeDocument/2006/customXml" ds:itemID="{E2115DB5-8B4E-44CD-9B71-94FFD6E76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70139-36E2-4DE7-AA92-33A5B075B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2a36c-26c9-422a-92f4-4446ae5352b6"/>
    <ds:schemaRef ds:uri="0dd8796f-7b24-46aa-9e8f-57abb592d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Pedersen, Holly</dc:creator>
  <cp:keywords/>
  <dc:description/>
  <cp:lastModifiedBy>Pedersen, Holly</cp:lastModifiedBy>
  <cp:revision>2</cp:revision>
  <dcterms:created xsi:type="dcterms:W3CDTF">2026-04-26T14:11:00Z</dcterms:created>
  <dcterms:modified xsi:type="dcterms:W3CDTF">2026-04-26T14:11:00Z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0x010100FAB7B9E719B0EF48B87DB4309183E4B0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rammarlyDocumentId">
    <vt:lpwstr>303885c5-78b7-4aa4-aed9-3ec3b5e97213</vt:lpwstr>
  </property>
</Properties>
</file>