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1D48" w14:textId="5FE71B71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Data Tool Document Dispositions Assessment</w:t>
      </w:r>
      <w:r w:rsidR="009265CC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, 2024-2025</w:t>
      </w:r>
    </w:p>
    <w:p w14:paraId="34FA396F" w14:textId="77777777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E7A2ED6" w14:textId="5010375C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Data Item: Disposition Assessment form</w:t>
      </w:r>
    </w:p>
    <w:p w14:paraId="031A1D6A" w14:textId="658AEACF" w:rsidR="007413B7" w:rsidRDefault="007413B7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Disposition Categories: </w:t>
      </w:r>
      <w:r w:rsidR="00D64241" w:rsidRPr="00BA589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Respect, Communication, Collaboration, Commitment to Content, Commitment to Student Learning, </w:t>
      </w:r>
      <w:r w:rsidR="0063441F" w:rsidRPr="00BA5894">
        <w:rPr>
          <w:rStyle w:val="normaltextrun"/>
          <w:rFonts w:ascii="Calibri" w:hAnsi="Calibri" w:cs="Calibri"/>
          <w:color w:val="000000"/>
          <w:sz w:val="22"/>
          <w:szCs w:val="22"/>
        </w:rPr>
        <w:t>Reflection, Responsibility</w:t>
      </w:r>
    </w:p>
    <w:p w14:paraId="3063CDF1" w14:textId="16BBACE8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Timeframe</w:t>
      </w:r>
      <w:r w:rsidR="00BA5894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Completed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 w:rsidRPr="00A43E11">
        <w:rPr>
          <w:rStyle w:val="normaltextrun"/>
          <w:rFonts w:ascii="Calibri" w:hAnsi="Calibri" w:cs="Calibri"/>
          <w:color w:val="000000"/>
          <w:sz w:val="22"/>
          <w:szCs w:val="22"/>
        </w:rPr>
        <w:t>ED 284L/ELTC; student teaching semester</w:t>
      </w:r>
    </w:p>
    <w:p w14:paraId="7FE05650" w14:textId="5C965261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Assessor</w:t>
      </w:r>
      <w:r>
        <w:rPr>
          <w:rStyle w:val="normaltextrun"/>
          <w:rFonts w:ascii="Calibri" w:hAnsi="Calibri" w:cs="Calibri"/>
          <w:sz w:val="22"/>
          <w:szCs w:val="22"/>
        </w:rPr>
        <w:t>: TC in ED 284L, MT in ED 284L; TC in student teaching; MT in student teaching</w:t>
      </w:r>
    </w:p>
    <w:p w14:paraId="5C5C2B01" w14:textId="77777777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EAAD96" w14:textId="519D2899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Actionable</w:t>
      </w:r>
      <w:r>
        <w:rPr>
          <w:rStyle w:val="normaltextrun"/>
          <w:rFonts w:ascii="Calibri" w:hAnsi="Calibri" w:cs="Calibri"/>
          <w:sz w:val="22"/>
          <w:szCs w:val="22"/>
        </w:rPr>
        <w:t>: This is currently being explored.  As of Fall 2023, these assessments are a source of discussion in the ELTC</w:t>
      </w:r>
      <w:r w:rsidR="002631A2">
        <w:rPr>
          <w:rStyle w:val="normaltextrun"/>
          <w:rFonts w:ascii="Calibri" w:hAnsi="Calibri" w:cs="Calibri"/>
          <w:sz w:val="22"/>
          <w:szCs w:val="22"/>
        </w:rPr>
        <w:t>, and these discussions form the basis for teacher candidate goals moving forward in the program.</w:t>
      </w:r>
    </w:p>
    <w:p w14:paraId="041246BC" w14:textId="77777777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305BB5" w14:textId="37B2D005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Data Available:</w:t>
      </w:r>
      <w:r w:rsidR="007413B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A2B47">
        <w:rPr>
          <w:rStyle w:val="normaltextrun"/>
          <w:rFonts w:ascii="Calibri" w:hAnsi="Calibri" w:cs="Calibri"/>
          <w:color w:val="000000"/>
          <w:sz w:val="22"/>
          <w:szCs w:val="22"/>
        </w:rPr>
        <w:t>Spring 2023</w:t>
      </w:r>
      <w:r w:rsidR="007413B7">
        <w:rPr>
          <w:rStyle w:val="normaltextrun"/>
          <w:rFonts w:ascii="Calibri" w:hAnsi="Calibri" w:cs="Calibri"/>
          <w:color w:val="000000"/>
          <w:sz w:val="22"/>
          <w:szCs w:val="22"/>
        </w:rPr>
        <w:t>, Fall 2023, Spring 2024, Fall 2024</w:t>
      </w:r>
      <w:r w:rsidR="009265CC">
        <w:rPr>
          <w:rStyle w:val="normaltextrun"/>
          <w:rFonts w:ascii="Calibri" w:hAnsi="Calibri" w:cs="Calibri"/>
          <w:color w:val="000000"/>
          <w:sz w:val="22"/>
          <w:szCs w:val="22"/>
        </w:rPr>
        <w:t>, Spring 2025, Fall 2025</w:t>
      </w:r>
    </w:p>
    <w:p w14:paraId="763B1E8B" w14:textId="77777777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50FBAFF" w14:textId="6339728F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Standards Measured: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CAEP 1.4, CAEP 3.2, CAEP 3.3</w:t>
      </w:r>
    </w:p>
    <w:p w14:paraId="5785B641" w14:textId="77777777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ADD1DA" w14:textId="4E8B5E71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Benchmark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: </w:t>
      </w:r>
      <w:r w:rsidR="00F157D5">
        <w:rPr>
          <w:rStyle w:val="normaltextrun"/>
          <w:rFonts w:ascii="Calibri" w:hAnsi="Calibri" w:cs="Calibri"/>
          <w:color w:val="000000"/>
          <w:sz w:val="22"/>
          <w:szCs w:val="22"/>
        </w:rPr>
        <w:t>TLP aggre</w:t>
      </w:r>
      <w:r w:rsidR="001979C7">
        <w:rPr>
          <w:rStyle w:val="normaltextrun"/>
          <w:rFonts w:ascii="Calibri" w:hAnsi="Calibri" w:cs="Calibri"/>
          <w:color w:val="000000"/>
          <w:sz w:val="22"/>
          <w:szCs w:val="22"/>
        </w:rPr>
        <w:t>gated average</w:t>
      </w:r>
    </w:p>
    <w:p w14:paraId="0A5863CD" w14:textId="77777777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BF96D83" w14:textId="1C8A3E5B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Target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: </w:t>
      </w:r>
      <w:r w:rsidR="001979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Minimum of 3.0 average in TLP and in programs if </w:t>
      </w:r>
      <w:r w:rsidR="00BA5894">
        <w:rPr>
          <w:rStyle w:val="normaltextrun"/>
          <w:rFonts w:ascii="Calibri" w:hAnsi="Calibri" w:cs="Calibri"/>
          <w:color w:val="000000"/>
          <w:sz w:val="22"/>
          <w:szCs w:val="22"/>
        </w:rPr>
        <w:t>n&gt;5</w:t>
      </w:r>
      <w:r w:rsidR="00CD6FF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; proficiency rate of 80% or better for TLP aggregate data as well as </w:t>
      </w:r>
      <w:r w:rsidR="009D3B19">
        <w:rPr>
          <w:rStyle w:val="normaltextrun"/>
          <w:rFonts w:ascii="Calibri" w:hAnsi="Calibri" w:cs="Calibri"/>
          <w:color w:val="000000"/>
          <w:sz w:val="22"/>
          <w:szCs w:val="22"/>
        </w:rPr>
        <w:t>in programs if n&gt;5.</w:t>
      </w:r>
    </w:p>
    <w:p w14:paraId="2AEB23B7" w14:textId="77777777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9C5F754" w14:textId="00235980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Years available: Spring 2023, Fall 2023 pilot data</w:t>
      </w:r>
    </w:p>
    <w:p w14:paraId="5AAE0ECE" w14:textId="77777777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B3B96A9" w14:textId="0B4196D1" w:rsidR="00A43E11" w:rsidRDefault="00A43E11" w:rsidP="00A43E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43E11">
        <w:rPr>
          <w:rStyle w:val="normaltextrun"/>
          <w:rFonts w:ascii="Calibri" w:hAnsi="Calibri" w:cs="Calibri"/>
          <w:b/>
          <w:bCs/>
          <w:sz w:val="22"/>
          <w:szCs w:val="22"/>
        </w:rPr>
        <w:t>Data Analysis</w:t>
      </w:r>
      <w:r w:rsidRPr="00970B6C">
        <w:rPr>
          <w:rStyle w:val="normaltextrun"/>
          <w:rFonts w:ascii="Calibri" w:hAnsi="Calibri" w:cs="Calibri"/>
          <w:sz w:val="22"/>
          <w:szCs w:val="22"/>
        </w:rPr>
        <w:t>:</w:t>
      </w:r>
    </w:p>
    <w:p w14:paraId="381854CF" w14:textId="22845E35" w:rsidR="005F547F" w:rsidRDefault="00A43E11" w:rsidP="00A43E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  <w:t>*</w:t>
      </w:r>
      <w:r w:rsidR="00900677">
        <w:rPr>
          <w:rStyle w:val="normaltextrun"/>
          <w:rFonts w:ascii="Calibri" w:hAnsi="Calibri" w:cs="Calibri"/>
          <w:sz w:val="22"/>
          <w:szCs w:val="22"/>
        </w:rPr>
        <w:t>Trend line by category for TLP aggregated</w:t>
      </w:r>
      <w:r w:rsidR="005F547F">
        <w:rPr>
          <w:rStyle w:val="normaltextrun"/>
          <w:rFonts w:ascii="Calibri" w:hAnsi="Calibri" w:cs="Calibri"/>
          <w:sz w:val="22"/>
          <w:szCs w:val="22"/>
        </w:rPr>
        <w:t xml:space="preserve"> for available semesters</w:t>
      </w:r>
      <w:r w:rsidR="00091D4E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551F5D">
        <w:rPr>
          <w:rStyle w:val="normaltextrun"/>
          <w:rFonts w:ascii="Calibri" w:hAnsi="Calibri" w:cs="Calibri"/>
          <w:sz w:val="22"/>
          <w:szCs w:val="22"/>
        </w:rPr>
        <w:t>based on average scores</w:t>
      </w:r>
    </w:p>
    <w:p w14:paraId="1EFFB8B6" w14:textId="68B7F4F0" w:rsidR="00A43E11" w:rsidRDefault="00A43E11" w:rsidP="00EE320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*</w:t>
      </w:r>
      <w:r w:rsidR="00EE3204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="00EE3204">
        <w:rPr>
          <w:rStyle w:val="normaltextrun"/>
          <w:rFonts w:ascii="Calibri" w:hAnsi="Calibri" w:cs="Calibri"/>
          <w:sz w:val="22"/>
          <w:szCs w:val="22"/>
        </w:rPr>
        <w:t>proficiency</w:t>
      </w:r>
      <w:proofErr w:type="gramEnd"/>
      <w:r w:rsidR="00EE3204">
        <w:rPr>
          <w:rStyle w:val="normaltextrun"/>
          <w:rFonts w:ascii="Calibri" w:hAnsi="Calibri" w:cs="Calibri"/>
          <w:sz w:val="22"/>
          <w:szCs w:val="22"/>
        </w:rPr>
        <w:t xml:space="preserve"> rate (percent of responses at a level of 3 or 4 on a </w:t>
      </w:r>
      <w:proofErr w:type="gramStart"/>
      <w:r w:rsidR="00EE3204">
        <w:rPr>
          <w:rStyle w:val="normaltextrun"/>
          <w:rFonts w:ascii="Calibri" w:hAnsi="Calibri" w:cs="Calibri"/>
          <w:sz w:val="22"/>
          <w:szCs w:val="22"/>
        </w:rPr>
        <w:t>4 point</w:t>
      </w:r>
      <w:proofErr w:type="gramEnd"/>
      <w:r w:rsidR="00EE3204">
        <w:rPr>
          <w:rStyle w:val="normaltextrun"/>
          <w:rFonts w:ascii="Calibri" w:hAnsi="Calibri" w:cs="Calibri"/>
          <w:sz w:val="22"/>
          <w:szCs w:val="22"/>
        </w:rPr>
        <w:t xml:space="preserve"> scale – </w:t>
      </w:r>
      <w:r w:rsidR="00982207">
        <w:rPr>
          <w:rStyle w:val="normaltextrun"/>
          <w:rFonts w:ascii="Calibri" w:hAnsi="Calibri" w:cs="Calibri"/>
          <w:sz w:val="22"/>
          <w:szCs w:val="22"/>
        </w:rPr>
        <w:t>consistently struggles, occasionally struggles, almost always, and always</w:t>
      </w:r>
      <w:r w:rsidR="00EE3204">
        <w:rPr>
          <w:rStyle w:val="normaltextrun"/>
          <w:rFonts w:ascii="Calibri" w:hAnsi="Calibri" w:cs="Calibri"/>
          <w:sz w:val="22"/>
          <w:szCs w:val="22"/>
        </w:rPr>
        <w:t>) for each disposition category</w:t>
      </w:r>
      <w:r w:rsidR="00443312">
        <w:rPr>
          <w:rStyle w:val="normaltextrun"/>
          <w:rFonts w:ascii="Calibri" w:hAnsi="Calibri" w:cs="Calibri"/>
          <w:sz w:val="22"/>
          <w:szCs w:val="22"/>
        </w:rPr>
        <w:t>.</w:t>
      </w:r>
    </w:p>
    <w:p w14:paraId="5F0A992E" w14:textId="77777777" w:rsidR="001D02CD" w:rsidRDefault="001D02CD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0773988" w14:textId="15B60D16" w:rsidR="00694866" w:rsidRPr="00E002C6" w:rsidRDefault="00694866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E002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Trend </w:t>
      </w:r>
      <w:r w:rsidR="002437B5" w:rsidRPr="00E002C6">
        <w:rPr>
          <w:rStyle w:val="normaltextrun"/>
          <w:rFonts w:ascii="Calibri" w:hAnsi="Calibri" w:cs="Calibri"/>
          <w:b/>
          <w:bCs/>
          <w:sz w:val="22"/>
          <w:szCs w:val="22"/>
        </w:rPr>
        <w:t>Table</w:t>
      </w:r>
      <w:r w:rsidRPr="00E002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for </w:t>
      </w:r>
      <w:r w:rsidR="00D37CD2" w:rsidRPr="00E002C6">
        <w:rPr>
          <w:rStyle w:val="normaltextrun"/>
          <w:rFonts w:ascii="Calibri" w:hAnsi="Calibri" w:cs="Calibri"/>
          <w:b/>
          <w:bCs/>
          <w:sz w:val="22"/>
          <w:szCs w:val="22"/>
        </w:rPr>
        <w:t>Dispositions</w:t>
      </w:r>
      <w:r w:rsidR="002437B5" w:rsidRPr="00E002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. </w:t>
      </w:r>
      <w:r w:rsidR="00626A41" w:rsidRPr="00E002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Mentor teachers and teacher candidates, </w:t>
      </w:r>
      <w:r w:rsidR="002437B5" w:rsidRPr="00E002C6">
        <w:rPr>
          <w:rStyle w:val="normaltextrun"/>
          <w:rFonts w:ascii="Calibri" w:hAnsi="Calibri" w:cs="Calibri"/>
          <w:b/>
          <w:bCs/>
          <w:sz w:val="22"/>
          <w:szCs w:val="22"/>
        </w:rPr>
        <w:t>2023 –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3"/>
        <w:gridCol w:w="2672"/>
        <w:gridCol w:w="2672"/>
        <w:gridCol w:w="2533"/>
      </w:tblGrid>
      <w:tr w:rsidR="002437B5" w14:paraId="1C9CDC94" w14:textId="29179C96" w:rsidTr="002437B5">
        <w:tc>
          <w:tcPr>
            <w:tcW w:w="2913" w:type="dxa"/>
          </w:tcPr>
          <w:p w14:paraId="4733DF5E" w14:textId="77777777" w:rsidR="002437B5" w:rsidRDefault="002437B5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C0D04F9" w14:textId="161A9F86" w:rsidR="002437B5" w:rsidRDefault="002437B5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672" w:type="dxa"/>
          </w:tcPr>
          <w:p w14:paraId="0A849D8D" w14:textId="27A38876" w:rsidR="002437B5" w:rsidRDefault="002437B5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</w:t>
            </w:r>
            <w:r w:rsidR="00B35DE9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-202</w:t>
            </w:r>
            <w:r w:rsidR="00B35DE9">
              <w:rPr>
                <w:rStyle w:val="normaltextrun"/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33" w:type="dxa"/>
          </w:tcPr>
          <w:p w14:paraId="09DEFC24" w14:textId="5D8D5B85" w:rsidR="002437B5" w:rsidRDefault="00B35DE9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2024 - </w:t>
            </w:r>
            <w:r w:rsidR="002437B5">
              <w:rPr>
                <w:rStyle w:val="normaltextrun"/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2437B5" w14:paraId="0E0BB44E" w14:textId="492819E8" w:rsidTr="002437B5">
        <w:tc>
          <w:tcPr>
            <w:tcW w:w="2913" w:type="dxa"/>
          </w:tcPr>
          <w:p w14:paraId="48C6CFA4" w14:textId="76BF63C5" w:rsidR="002437B5" w:rsidRDefault="002437B5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Collaboration</w:t>
            </w:r>
          </w:p>
        </w:tc>
        <w:tc>
          <w:tcPr>
            <w:tcW w:w="2672" w:type="dxa"/>
          </w:tcPr>
          <w:p w14:paraId="0E18910F" w14:textId="01691D26" w:rsidR="002437B5" w:rsidRDefault="00B35DE9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3.31</w:t>
            </w:r>
          </w:p>
        </w:tc>
        <w:tc>
          <w:tcPr>
            <w:tcW w:w="2672" w:type="dxa"/>
          </w:tcPr>
          <w:p w14:paraId="5F81B50E" w14:textId="15CAD619" w:rsidR="002437B5" w:rsidRDefault="00B35DE9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3.34</w:t>
            </w:r>
          </w:p>
        </w:tc>
        <w:tc>
          <w:tcPr>
            <w:tcW w:w="2533" w:type="dxa"/>
          </w:tcPr>
          <w:p w14:paraId="2276AA6F" w14:textId="13B73B64" w:rsidR="002437B5" w:rsidRDefault="002F1B35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3.37</w:t>
            </w:r>
          </w:p>
        </w:tc>
      </w:tr>
      <w:tr w:rsidR="002437B5" w14:paraId="1A9082C6" w14:textId="14D8981F" w:rsidTr="002437B5">
        <w:tc>
          <w:tcPr>
            <w:tcW w:w="2913" w:type="dxa"/>
          </w:tcPr>
          <w:p w14:paraId="7210BC1F" w14:textId="03EA7485" w:rsidR="002437B5" w:rsidRDefault="00626A41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Commitment to Content</w:t>
            </w:r>
          </w:p>
        </w:tc>
        <w:tc>
          <w:tcPr>
            <w:tcW w:w="2672" w:type="dxa"/>
          </w:tcPr>
          <w:p w14:paraId="070DDC6A" w14:textId="0333C9F1" w:rsidR="002437B5" w:rsidRDefault="002F1B35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3.29</w:t>
            </w:r>
          </w:p>
        </w:tc>
        <w:tc>
          <w:tcPr>
            <w:tcW w:w="2672" w:type="dxa"/>
          </w:tcPr>
          <w:p w14:paraId="39CD7865" w14:textId="43673C31" w:rsidR="002437B5" w:rsidRDefault="0018242D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3.25</w:t>
            </w:r>
          </w:p>
        </w:tc>
        <w:tc>
          <w:tcPr>
            <w:tcW w:w="2533" w:type="dxa"/>
          </w:tcPr>
          <w:p w14:paraId="54509B74" w14:textId="12F47440" w:rsidR="002437B5" w:rsidRDefault="0018242D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3.29</w:t>
            </w:r>
          </w:p>
        </w:tc>
      </w:tr>
      <w:tr w:rsidR="002437B5" w14:paraId="6E38E746" w14:textId="6C3B8449" w:rsidTr="002437B5">
        <w:tc>
          <w:tcPr>
            <w:tcW w:w="2913" w:type="dxa"/>
          </w:tcPr>
          <w:p w14:paraId="34F5B5BB" w14:textId="3FA238E2" w:rsidR="002437B5" w:rsidRDefault="00626A41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Commitment to Student learning</w:t>
            </w:r>
          </w:p>
        </w:tc>
        <w:tc>
          <w:tcPr>
            <w:tcW w:w="2672" w:type="dxa"/>
          </w:tcPr>
          <w:p w14:paraId="51498B91" w14:textId="07F9173F" w:rsidR="002437B5" w:rsidRDefault="0018242D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3.45</w:t>
            </w:r>
          </w:p>
        </w:tc>
        <w:tc>
          <w:tcPr>
            <w:tcW w:w="2672" w:type="dxa"/>
          </w:tcPr>
          <w:p w14:paraId="0D7C2234" w14:textId="1DB4C2A3" w:rsidR="002437B5" w:rsidRDefault="00A075E4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3.29</w:t>
            </w:r>
          </w:p>
        </w:tc>
        <w:tc>
          <w:tcPr>
            <w:tcW w:w="2533" w:type="dxa"/>
          </w:tcPr>
          <w:p w14:paraId="424ED1C4" w14:textId="7DF16A59" w:rsidR="002437B5" w:rsidRDefault="00A075E4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3.30</w:t>
            </w:r>
          </w:p>
        </w:tc>
      </w:tr>
      <w:tr w:rsidR="002437B5" w14:paraId="1BD899C3" w14:textId="0F04CBB3" w:rsidTr="002437B5">
        <w:tc>
          <w:tcPr>
            <w:tcW w:w="2913" w:type="dxa"/>
          </w:tcPr>
          <w:p w14:paraId="180D6616" w14:textId="53708CB3" w:rsidR="002437B5" w:rsidRDefault="00626A41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ommunication</w:t>
            </w:r>
          </w:p>
        </w:tc>
        <w:tc>
          <w:tcPr>
            <w:tcW w:w="2672" w:type="dxa"/>
          </w:tcPr>
          <w:p w14:paraId="551224FF" w14:textId="56A8EE2B" w:rsidR="002437B5" w:rsidRDefault="00DB3257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3.52</w:t>
            </w:r>
          </w:p>
        </w:tc>
        <w:tc>
          <w:tcPr>
            <w:tcW w:w="2672" w:type="dxa"/>
          </w:tcPr>
          <w:p w14:paraId="34221DA9" w14:textId="17EB0A64" w:rsidR="002437B5" w:rsidRDefault="00DB3257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3.40</w:t>
            </w:r>
          </w:p>
        </w:tc>
        <w:tc>
          <w:tcPr>
            <w:tcW w:w="2533" w:type="dxa"/>
          </w:tcPr>
          <w:p w14:paraId="460740DC" w14:textId="64D299EB" w:rsidR="002437B5" w:rsidRDefault="00052606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3.43</w:t>
            </w:r>
          </w:p>
        </w:tc>
      </w:tr>
      <w:tr w:rsidR="002437B5" w14:paraId="3C538977" w14:textId="6B75F28C" w:rsidTr="002437B5">
        <w:tc>
          <w:tcPr>
            <w:tcW w:w="2913" w:type="dxa"/>
          </w:tcPr>
          <w:p w14:paraId="5F8F9E9C" w14:textId="05F5B004" w:rsidR="002437B5" w:rsidRDefault="00626A41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Reflection</w:t>
            </w:r>
          </w:p>
        </w:tc>
        <w:tc>
          <w:tcPr>
            <w:tcW w:w="2672" w:type="dxa"/>
          </w:tcPr>
          <w:p w14:paraId="23C4BF89" w14:textId="0E267CF2" w:rsidR="002437B5" w:rsidRDefault="00052606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3.57</w:t>
            </w:r>
          </w:p>
        </w:tc>
        <w:tc>
          <w:tcPr>
            <w:tcW w:w="2672" w:type="dxa"/>
          </w:tcPr>
          <w:p w14:paraId="4DF49DB8" w14:textId="6C697917" w:rsidR="002437B5" w:rsidRDefault="0053739D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3.62</w:t>
            </w:r>
          </w:p>
        </w:tc>
        <w:tc>
          <w:tcPr>
            <w:tcW w:w="2533" w:type="dxa"/>
          </w:tcPr>
          <w:p w14:paraId="26E6CB23" w14:textId="6B8AB2AA" w:rsidR="002437B5" w:rsidRDefault="0053739D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3.56</w:t>
            </w:r>
          </w:p>
        </w:tc>
      </w:tr>
      <w:tr w:rsidR="00626A41" w14:paraId="54D69EEF" w14:textId="77777777" w:rsidTr="002437B5">
        <w:tc>
          <w:tcPr>
            <w:tcW w:w="2913" w:type="dxa"/>
          </w:tcPr>
          <w:p w14:paraId="52E3005E" w14:textId="14936356" w:rsidR="00626A41" w:rsidRDefault="00626A41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espect</w:t>
            </w:r>
          </w:p>
        </w:tc>
        <w:tc>
          <w:tcPr>
            <w:tcW w:w="2672" w:type="dxa"/>
          </w:tcPr>
          <w:p w14:paraId="69920005" w14:textId="59D90369" w:rsidR="00626A41" w:rsidRDefault="007F0A2A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3.62</w:t>
            </w:r>
          </w:p>
        </w:tc>
        <w:tc>
          <w:tcPr>
            <w:tcW w:w="2672" w:type="dxa"/>
          </w:tcPr>
          <w:p w14:paraId="2117B2E9" w14:textId="02D2D8F3" w:rsidR="00626A41" w:rsidRDefault="007F0A2A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3.60</w:t>
            </w:r>
          </w:p>
        </w:tc>
        <w:tc>
          <w:tcPr>
            <w:tcW w:w="2533" w:type="dxa"/>
          </w:tcPr>
          <w:p w14:paraId="2537481F" w14:textId="4A48C554" w:rsidR="00626A41" w:rsidRDefault="007F0A2A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3.54</w:t>
            </w:r>
          </w:p>
        </w:tc>
      </w:tr>
      <w:tr w:rsidR="00626A41" w14:paraId="15302C6D" w14:textId="77777777" w:rsidTr="002437B5">
        <w:tc>
          <w:tcPr>
            <w:tcW w:w="2913" w:type="dxa"/>
          </w:tcPr>
          <w:p w14:paraId="64ED4345" w14:textId="79B8FC58" w:rsidR="00626A41" w:rsidRDefault="00626A41" w:rsidP="00694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Responsibility</w:t>
            </w:r>
          </w:p>
        </w:tc>
        <w:tc>
          <w:tcPr>
            <w:tcW w:w="2672" w:type="dxa"/>
          </w:tcPr>
          <w:p w14:paraId="7D3AA8F2" w14:textId="29EBA6FF" w:rsidR="00626A41" w:rsidRDefault="00DE1A39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3.64</w:t>
            </w:r>
          </w:p>
        </w:tc>
        <w:tc>
          <w:tcPr>
            <w:tcW w:w="2672" w:type="dxa"/>
          </w:tcPr>
          <w:p w14:paraId="4E7047EB" w14:textId="3F041A45" w:rsidR="00626A41" w:rsidRDefault="00DE1A39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3.64</w:t>
            </w:r>
          </w:p>
        </w:tc>
        <w:tc>
          <w:tcPr>
            <w:tcW w:w="2533" w:type="dxa"/>
          </w:tcPr>
          <w:p w14:paraId="4483F3E3" w14:textId="0D552986" w:rsidR="00626A41" w:rsidRDefault="009D3DFA" w:rsidP="00E002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 w:rsidR="00E002C6">
              <w:rPr>
                <w:rStyle w:val="normaltextrun"/>
                <w:rFonts w:ascii="Calibri" w:hAnsi="Calibri" w:cs="Calibri"/>
                <w:sz w:val="22"/>
                <w:szCs w:val="22"/>
              </w:rPr>
              <w:t>.58</w:t>
            </w:r>
          </w:p>
        </w:tc>
      </w:tr>
    </w:tbl>
    <w:p w14:paraId="62397E08" w14:textId="77777777" w:rsidR="002437B5" w:rsidRDefault="002437B5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0271942" w14:textId="37C59463" w:rsidR="00694866" w:rsidRPr="001825A8" w:rsidRDefault="00D75A24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Proficiency table </w:t>
      </w:r>
      <w:r w:rsidR="001825A8"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>Collaboration</w:t>
      </w:r>
      <w:r w:rsidR="00443312"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>, aggregated for TLP, 2024-2025</w:t>
      </w:r>
    </w:p>
    <w:tbl>
      <w:tblPr>
        <w:tblW w:w="4231" w:type="dxa"/>
        <w:tblLook w:val="04A0" w:firstRow="1" w:lastRow="0" w:firstColumn="1" w:lastColumn="0" w:noHBand="0" w:noVBand="1"/>
      </w:tblPr>
      <w:tblGrid>
        <w:gridCol w:w="960"/>
        <w:gridCol w:w="1351"/>
        <w:gridCol w:w="2106"/>
      </w:tblGrid>
      <w:tr w:rsidR="001825A8" w:rsidRPr="001825A8" w14:paraId="2252806D" w14:textId="77777777" w:rsidTr="001825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84DF9" w14:textId="77777777" w:rsidR="001825A8" w:rsidRPr="001825A8" w:rsidRDefault="001825A8" w:rsidP="001825A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3F6F0" w14:textId="77777777" w:rsidR="001825A8" w:rsidRPr="001825A8" w:rsidRDefault="001825A8" w:rsidP="001825A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38D7" w14:textId="77777777" w:rsidR="001825A8" w:rsidRPr="001825A8" w:rsidRDefault="001825A8" w:rsidP="001825A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825A8" w:rsidRPr="001825A8" w14:paraId="7D45DE2B" w14:textId="77777777" w:rsidTr="001825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93DD" w14:textId="77777777" w:rsidR="001825A8" w:rsidRPr="001825A8" w:rsidRDefault="001825A8" w:rsidP="001825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5CF4" w14:textId="77777777" w:rsidR="001825A8" w:rsidRPr="001825A8" w:rsidRDefault="001825A8" w:rsidP="001825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C40C" w14:textId="77777777" w:rsidR="001825A8" w:rsidRPr="001825A8" w:rsidRDefault="001825A8" w:rsidP="001825A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Consistently struggles</w:t>
            </w:r>
          </w:p>
        </w:tc>
      </w:tr>
      <w:tr w:rsidR="001825A8" w:rsidRPr="001825A8" w14:paraId="769BD7A6" w14:textId="77777777" w:rsidTr="001825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0157" w14:textId="77777777" w:rsidR="001825A8" w:rsidRPr="001825A8" w:rsidRDefault="001825A8" w:rsidP="001825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7%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7232" w14:textId="77777777" w:rsidR="001825A8" w:rsidRPr="001825A8" w:rsidRDefault="001825A8" w:rsidP="001825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D14A" w14:textId="77777777" w:rsidR="001825A8" w:rsidRPr="001825A8" w:rsidRDefault="001825A8" w:rsidP="001825A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Occasionally struggles</w:t>
            </w:r>
          </w:p>
        </w:tc>
      </w:tr>
      <w:tr w:rsidR="001825A8" w:rsidRPr="001825A8" w14:paraId="6CCC06BC" w14:textId="77777777" w:rsidTr="001825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FE5A" w14:textId="77777777" w:rsidR="001825A8" w:rsidRPr="001825A8" w:rsidRDefault="001825A8" w:rsidP="001825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48%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B70F" w14:textId="77777777" w:rsidR="001825A8" w:rsidRPr="001825A8" w:rsidRDefault="001825A8" w:rsidP="001825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97A9" w14:textId="77777777" w:rsidR="001825A8" w:rsidRPr="001825A8" w:rsidRDefault="001825A8" w:rsidP="001825A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Almost always achieves</w:t>
            </w:r>
          </w:p>
        </w:tc>
      </w:tr>
      <w:tr w:rsidR="001825A8" w:rsidRPr="001825A8" w14:paraId="27B32C16" w14:textId="77777777" w:rsidTr="001825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3A0E" w14:textId="77777777" w:rsidR="001825A8" w:rsidRPr="001825A8" w:rsidRDefault="001825A8" w:rsidP="001825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45%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0A53" w14:textId="77777777" w:rsidR="001825A8" w:rsidRPr="001825A8" w:rsidRDefault="001825A8" w:rsidP="001825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C076" w14:textId="77777777" w:rsidR="001825A8" w:rsidRPr="001825A8" w:rsidRDefault="001825A8" w:rsidP="001825A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kern w:val="0"/>
                <w14:ligatures w14:val="none"/>
              </w:rPr>
              <w:t>Always achieves</w:t>
            </w:r>
          </w:p>
        </w:tc>
      </w:tr>
      <w:tr w:rsidR="001825A8" w:rsidRPr="001825A8" w14:paraId="31121E83" w14:textId="77777777" w:rsidTr="001825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0AD5" w14:textId="77777777" w:rsidR="001825A8" w:rsidRPr="001825A8" w:rsidRDefault="001825A8" w:rsidP="001825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1825A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41C2" w14:textId="77777777" w:rsidR="001825A8" w:rsidRPr="001825A8" w:rsidRDefault="001825A8" w:rsidP="001825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61AE" w14:textId="77777777" w:rsidR="001825A8" w:rsidRPr="001825A8" w:rsidRDefault="001825A8" w:rsidP="001825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F1F2575" w14:textId="77777777" w:rsidR="00443312" w:rsidRDefault="00443312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DD33538" w14:textId="77777777" w:rsidR="00CB0634" w:rsidRDefault="00CB0634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F76030E" w14:textId="77777777" w:rsidR="00CB0634" w:rsidRDefault="00CB0634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AB12084" w14:textId="77777777" w:rsidR="00CB0634" w:rsidRDefault="00CB0634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7967C86" w14:textId="450CC312" w:rsidR="007A5D58" w:rsidRDefault="007A5D58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Proficiency table Co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mmitment to Content</w:t>
      </w: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>, aggregated for TLP, 2024-2025</w:t>
      </w:r>
    </w:p>
    <w:tbl>
      <w:tblPr>
        <w:tblW w:w="4231" w:type="dxa"/>
        <w:tblLook w:val="04A0" w:firstRow="1" w:lastRow="0" w:firstColumn="1" w:lastColumn="0" w:noHBand="0" w:noVBand="1"/>
      </w:tblPr>
      <w:tblGrid>
        <w:gridCol w:w="960"/>
        <w:gridCol w:w="1351"/>
        <w:gridCol w:w="2106"/>
      </w:tblGrid>
      <w:tr w:rsidR="00CB0634" w:rsidRPr="00CB0634" w14:paraId="1F84ECEC" w14:textId="77777777" w:rsidTr="00CB06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0B5A0" w14:textId="77777777" w:rsidR="00CB0634" w:rsidRPr="00CB0634" w:rsidRDefault="00CB0634" w:rsidP="00CB063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499AF" w14:textId="77777777" w:rsidR="00CB0634" w:rsidRPr="00CB0634" w:rsidRDefault="00CB0634" w:rsidP="00CB063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B142" w14:textId="77777777" w:rsidR="00CB0634" w:rsidRPr="00CB0634" w:rsidRDefault="00CB0634" w:rsidP="00CB063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CB0634" w:rsidRPr="00CB0634" w14:paraId="693C8E18" w14:textId="77777777" w:rsidTr="00CB06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D933" w14:textId="77777777" w:rsidR="00CB0634" w:rsidRPr="00CB0634" w:rsidRDefault="00CB0634" w:rsidP="00CB06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4D9A" w14:textId="77777777" w:rsidR="00CB0634" w:rsidRPr="00CB0634" w:rsidRDefault="00CB0634" w:rsidP="00CB06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B8C6" w14:textId="77777777" w:rsidR="00CB0634" w:rsidRPr="00CB0634" w:rsidRDefault="00CB0634" w:rsidP="00CB063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Consistently struggles</w:t>
            </w:r>
          </w:p>
        </w:tc>
      </w:tr>
      <w:tr w:rsidR="00CB0634" w:rsidRPr="00CB0634" w14:paraId="1AB5C089" w14:textId="77777777" w:rsidTr="00CB06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2CD2" w14:textId="77777777" w:rsidR="00CB0634" w:rsidRPr="00CB0634" w:rsidRDefault="00CB0634" w:rsidP="00CB06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6%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6907" w14:textId="77777777" w:rsidR="00CB0634" w:rsidRPr="00CB0634" w:rsidRDefault="00CB0634" w:rsidP="00CB06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0B3B" w14:textId="77777777" w:rsidR="00CB0634" w:rsidRPr="00CB0634" w:rsidRDefault="00CB0634" w:rsidP="00CB063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Occasionally struggles</w:t>
            </w:r>
          </w:p>
        </w:tc>
      </w:tr>
      <w:tr w:rsidR="00CB0634" w:rsidRPr="00CB0634" w14:paraId="62ABF0EB" w14:textId="77777777" w:rsidTr="00CB06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030A" w14:textId="77777777" w:rsidR="00CB0634" w:rsidRPr="00CB0634" w:rsidRDefault="00CB0634" w:rsidP="00CB06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58%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641C" w14:textId="77777777" w:rsidR="00CB0634" w:rsidRPr="00CB0634" w:rsidRDefault="00CB0634" w:rsidP="00CB06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58F8" w14:textId="77777777" w:rsidR="00CB0634" w:rsidRPr="00CB0634" w:rsidRDefault="00CB0634" w:rsidP="00CB063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Almost always achieves</w:t>
            </w:r>
          </w:p>
        </w:tc>
      </w:tr>
      <w:tr w:rsidR="00CB0634" w:rsidRPr="00CB0634" w14:paraId="70243A51" w14:textId="77777777" w:rsidTr="00CB06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4481" w14:textId="77777777" w:rsidR="00CB0634" w:rsidRPr="00CB0634" w:rsidRDefault="00CB0634" w:rsidP="00CB06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35%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009A" w14:textId="77777777" w:rsidR="00CB0634" w:rsidRPr="00CB0634" w:rsidRDefault="00CB0634" w:rsidP="00CB06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D19D" w14:textId="77777777" w:rsidR="00CB0634" w:rsidRPr="00CB0634" w:rsidRDefault="00CB0634" w:rsidP="00CB063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kern w:val="0"/>
                <w14:ligatures w14:val="none"/>
              </w:rPr>
              <w:t>Always achieves</w:t>
            </w:r>
          </w:p>
        </w:tc>
      </w:tr>
      <w:tr w:rsidR="00CB0634" w:rsidRPr="00CB0634" w14:paraId="2197D928" w14:textId="77777777" w:rsidTr="00CB06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1DCD" w14:textId="77777777" w:rsidR="00CB0634" w:rsidRPr="00CB0634" w:rsidRDefault="00CB0634" w:rsidP="00CB06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CB0634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1C5C" w14:textId="77777777" w:rsidR="00CB0634" w:rsidRPr="00CB0634" w:rsidRDefault="00CB0634" w:rsidP="00CB06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DBED" w14:textId="77777777" w:rsidR="00CB0634" w:rsidRPr="00CB0634" w:rsidRDefault="00CB0634" w:rsidP="00CB06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E14DC5" w14:textId="77777777" w:rsidR="007A5D58" w:rsidRDefault="007A5D58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59F2C7E" w14:textId="77777777" w:rsidR="002A471F" w:rsidRDefault="002A471F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84063B2" w14:textId="2CC4506E" w:rsidR="007A5D58" w:rsidRPr="001825A8" w:rsidRDefault="007A5D58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>Proficiency table Co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mmitment to Student Learning</w:t>
      </w: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>, aggregated for TLP, 2024-2025</w:t>
      </w:r>
    </w:p>
    <w:tbl>
      <w:tblPr>
        <w:tblW w:w="4231" w:type="dxa"/>
        <w:tblLook w:val="04A0" w:firstRow="1" w:lastRow="0" w:firstColumn="1" w:lastColumn="0" w:noHBand="0" w:noVBand="1"/>
      </w:tblPr>
      <w:tblGrid>
        <w:gridCol w:w="960"/>
        <w:gridCol w:w="1351"/>
        <w:gridCol w:w="2106"/>
      </w:tblGrid>
      <w:tr w:rsidR="00414917" w:rsidRPr="00414917" w14:paraId="14FD0C9D" w14:textId="77777777" w:rsidTr="0041491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15B17" w14:textId="77777777" w:rsidR="00414917" w:rsidRPr="00414917" w:rsidRDefault="00414917" w:rsidP="004149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0326F" w14:textId="77777777" w:rsidR="00414917" w:rsidRPr="00414917" w:rsidRDefault="00414917" w:rsidP="004149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A531" w14:textId="77777777" w:rsidR="00414917" w:rsidRPr="00414917" w:rsidRDefault="00414917" w:rsidP="004149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414917" w:rsidRPr="00414917" w14:paraId="05B63C1C" w14:textId="77777777" w:rsidTr="0041491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A545" w14:textId="77777777" w:rsidR="00414917" w:rsidRPr="00414917" w:rsidRDefault="00414917" w:rsidP="004149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37C9" w14:textId="77777777" w:rsidR="00414917" w:rsidRPr="00414917" w:rsidRDefault="00414917" w:rsidP="004149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6ED30" w14:textId="77777777" w:rsidR="00414917" w:rsidRPr="00414917" w:rsidRDefault="00414917" w:rsidP="004149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Consistently struggles</w:t>
            </w:r>
          </w:p>
        </w:tc>
      </w:tr>
      <w:tr w:rsidR="00414917" w:rsidRPr="00414917" w14:paraId="26185535" w14:textId="77777777" w:rsidTr="0041491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A06A" w14:textId="77777777" w:rsidR="00414917" w:rsidRPr="00414917" w:rsidRDefault="00414917" w:rsidP="004149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8%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DCB9" w14:textId="77777777" w:rsidR="00414917" w:rsidRPr="00414917" w:rsidRDefault="00414917" w:rsidP="004149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A735D" w14:textId="77777777" w:rsidR="00414917" w:rsidRPr="00414917" w:rsidRDefault="00414917" w:rsidP="004149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Occasionally struggles</w:t>
            </w:r>
          </w:p>
        </w:tc>
      </w:tr>
      <w:tr w:rsidR="00414917" w:rsidRPr="00414917" w14:paraId="17901BF7" w14:textId="77777777" w:rsidTr="0041491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A25B" w14:textId="77777777" w:rsidR="00414917" w:rsidRPr="00414917" w:rsidRDefault="00414917" w:rsidP="004149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52%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42B4" w14:textId="77777777" w:rsidR="00414917" w:rsidRPr="00414917" w:rsidRDefault="00414917" w:rsidP="004149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DA14" w14:textId="77777777" w:rsidR="00414917" w:rsidRPr="00414917" w:rsidRDefault="00414917" w:rsidP="004149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Almost always achieves</w:t>
            </w:r>
          </w:p>
        </w:tc>
      </w:tr>
      <w:tr w:rsidR="00414917" w:rsidRPr="00414917" w14:paraId="1DA286C4" w14:textId="77777777" w:rsidTr="0041491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9F63" w14:textId="77777777" w:rsidR="00414917" w:rsidRPr="00414917" w:rsidRDefault="00414917" w:rsidP="004149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39%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4578" w14:textId="77777777" w:rsidR="00414917" w:rsidRPr="00414917" w:rsidRDefault="00414917" w:rsidP="004149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E08C0" w14:textId="77777777" w:rsidR="00414917" w:rsidRPr="00414917" w:rsidRDefault="00414917" w:rsidP="004149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14917">
              <w:rPr>
                <w:rFonts w:ascii="Aptos Narrow" w:eastAsia="Times New Roman" w:hAnsi="Aptos Narrow" w:cs="Times New Roman"/>
                <w:kern w:val="0"/>
                <w14:ligatures w14:val="none"/>
              </w:rPr>
              <w:t>Always achieves</w:t>
            </w:r>
          </w:p>
        </w:tc>
      </w:tr>
    </w:tbl>
    <w:p w14:paraId="0E83FAFD" w14:textId="77777777" w:rsidR="007A5D58" w:rsidRDefault="007A5D58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8AC0E43" w14:textId="77777777" w:rsidR="00CB0634" w:rsidRPr="001825A8" w:rsidRDefault="00CB0634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24E5432" w14:textId="3E8358C5" w:rsidR="007A5D58" w:rsidRPr="001825A8" w:rsidRDefault="007A5D58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>Proficiency table Co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mmunication</w:t>
      </w: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>, aggregated for TLP, 2024-2025</w:t>
      </w:r>
    </w:p>
    <w:tbl>
      <w:tblPr>
        <w:tblW w:w="4231" w:type="dxa"/>
        <w:tblLook w:val="04A0" w:firstRow="1" w:lastRow="0" w:firstColumn="1" w:lastColumn="0" w:noHBand="0" w:noVBand="1"/>
      </w:tblPr>
      <w:tblGrid>
        <w:gridCol w:w="960"/>
        <w:gridCol w:w="1351"/>
        <w:gridCol w:w="2106"/>
      </w:tblGrid>
      <w:tr w:rsidR="00F7673F" w:rsidRPr="00F7673F" w14:paraId="1E6B713D" w14:textId="77777777" w:rsidTr="00F767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0E565" w14:textId="77777777" w:rsidR="00F7673F" w:rsidRPr="00F7673F" w:rsidRDefault="00F7673F" w:rsidP="00F7673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D1734" w14:textId="77777777" w:rsidR="00F7673F" w:rsidRPr="00F7673F" w:rsidRDefault="00F7673F" w:rsidP="00F7673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Performance Level 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F29F" w14:textId="77777777" w:rsidR="00F7673F" w:rsidRPr="00F7673F" w:rsidRDefault="00F7673F" w:rsidP="00F7673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F7673F" w:rsidRPr="00F7673F" w14:paraId="2EBB4C80" w14:textId="77777777" w:rsidTr="00F767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02D6" w14:textId="77777777" w:rsidR="00F7673F" w:rsidRPr="00F7673F" w:rsidRDefault="00F7673F" w:rsidP="00F767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7EC5" w14:textId="77777777" w:rsidR="00F7673F" w:rsidRPr="00F7673F" w:rsidRDefault="00F7673F" w:rsidP="00F767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519CB" w14:textId="77777777" w:rsidR="00F7673F" w:rsidRPr="00F7673F" w:rsidRDefault="00F7673F" w:rsidP="00F7673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Consistently struggles</w:t>
            </w:r>
          </w:p>
        </w:tc>
      </w:tr>
      <w:tr w:rsidR="00F7673F" w:rsidRPr="00F7673F" w14:paraId="785D73C9" w14:textId="77777777" w:rsidTr="00F767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967A" w14:textId="77777777" w:rsidR="00F7673F" w:rsidRPr="00F7673F" w:rsidRDefault="00F7673F" w:rsidP="00F767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6%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A733" w14:textId="77777777" w:rsidR="00F7673F" w:rsidRPr="00F7673F" w:rsidRDefault="00F7673F" w:rsidP="00F767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24A68" w14:textId="77777777" w:rsidR="00F7673F" w:rsidRPr="00F7673F" w:rsidRDefault="00F7673F" w:rsidP="00F7673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Occasionally struggles</w:t>
            </w:r>
          </w:p>
        </w:tc>
      </w:tr>
      <w:tr w:rsidR="00F7673F" w:rsidRPr="00F7673F" w14:paraId="06C75E8E" w14:textId="77777777" w:rsidTr="00F767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D776" w14:textId="77777777" w:rsidR="00F7673F" w:rsidRPr="00F7673F" w:rsidRDefault="00F7673F" w:rsidP="00F767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44%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A402" w14:textId="77777777" w:rsidR="00F7673F" w:rsidRPr="00F7673F" w:rsidRDefault="00F7673F" w:rsidP="00F767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5A7E9" w14:textId="77777777" w:rsidR="00F7673F" w:rsidRPr="00F7673F" w:rsidRDefault="00F7673F" w:rsidP="00F7673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Almost always achieves</w:t>
            </w:r>
          </w:p>
        </w:tc>
      </w:tr>
      <w:tr w:rsidR="00F7673F" w:rsidRPr="00F7673F" w14:paraId="5A83158A" w14:textId="77777777" w:rsidTr="00F767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16F3" w14:textId="77777777" w:rsidR="00F7673F" w:rsidRPr="00F7673F" w:rsidRDefault="00F7673F" w:rsidP="00F767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50%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25F2" w14:textId="77777777" w:rsidR="00F7673F" w:rsidRPr="00F7673F" w:rsidRDefault="00F7673F" w:rsidP="00F767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7B33" w14:textId="77777777" w:rsidR="00F7673F" w:rsidRPr="00F7673F" w:rsidRDefault="00F7673F" w:rsidP="00F7673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kern w:val="0"/>
                <w14:ligatures w14:val="none"/>
              </w:rPr>
              <w:t>Always achieves</w:t>
            </w:r>
          </w:p>
        </w:tc>
      </w:tr>
      <w:tr w:rsidR="00F7673F" w:rsidRPr="00F7673F" w14:paraId="3BA4830C" w14:textId="77777777" w:rsidTr="00F767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29F1" w14:textId="77777777" w:rsidR="00F7673F" w:rsidRPr="00F7673F" w:rsidRDefault="00F7673F" w:rsidP="00F767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F767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0872" w14:textId="77777777" w:rsidR="00F7673F" w:rsidRPr="00F7673F" w:rsidRDefault="00F7673F" w:rsidP="00F767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EE08" w14:textId="77777777" w:rsidR="00F7673F" w:rsidRPr="00F7673F" w:rsidRDefault="00F7673F" w:rsidP="00F767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354B4C" w14:textId="77777777" w:rsidR="007A5D58" w:rsidRDefault="007A5D58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30D694B" w14:textId="77777777" w:rsidR="00D61FA8" w:rsidRDefault="00D61FA8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FF16052" w14:textId="494CC0B4" w:rsidR="007A5D58" w:rsidRDefault="007A5D58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Proficiency table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Reflection</w:t>
      </w: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>, aggregated for TLP, 2024-2025</w:t>
      </w:r>
    </w:p>
    <w:tbl>
      <w:tblPr>
        <w:tblW w:w="4231" w:type="dxa"/>
        <w:tblLook w:val="04A0" w:firstRow="1" w:lastRow="0" w:firstColumn="1" w:lastColumn="0" w:noHBand="0" w:noVBand="1"/>
      </w:tblPr>
      <w:tblGrid>
        <w:gridCol w:w="960"/>
        <w:gridCol w:w="1351"/>
        <w:gridCol w:w="2106"/>
      </w:tblGrid>
      <w:tr w:rsidR="000E7701" w:rsidRPr="000E7701" w14:paraId="1E3335BC" w14:textId="77777777" w:rsidTr="000E77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5A9BB" w14:textId="77777777" w:rsidR="000E7701" w:rsidRPr="000E7701" w:rsidRDefault="000E7701" w:rsidP="000E770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D34BD" w14:textId="77777777" w:rsidR="000E7701" w:rsidRPr="000E7701" w:rsidRDefault="000E7701" w:rsidP="000E770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0D48" w14:textId="77777777" w:rsidR="000E7701" w:rsidRPr="000E7701" w:rsidRDefault="000E7701" w:rsidP="000E770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E7701" w:rsidRPr="000E7701" w14:paraId="080D7CC0" w14:textId="77777777" w:rsidTr="000E77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3814" w14:textId="77777777" w:rsidR="000E7701" w:rsidRPr="000E7701" w:rsidRDefault="000E7701" w:rsidP="000E77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20E3" w14:textId="77777777" w:rsidR="000E7701" w:rsidRPr="000E7701" w:rsidRDefault="000E7701" w:rsidP="000E77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567A" w14:textId="77777777" w:rsidR="000E7701" w:rsidRPr="000E7701" w:rsidRDefault="000E7701" w:rsidP="000E770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Consistently struggles</w:t>
            </w:r>
          </w:p>
        </w:tc>
      </w:tr>
      <w:tr w:rsidR="000E7701" w:rsidRPr="000E7701" w14:paraId="28E76A8C" w14:textId="77777777" w:rsidTr="000E77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7545" w14:textId="77777777" w:rsidR="000E7701" w:rsidRPr="000E7701" w:rsidRDefault="000E7701" w:rsidP="000E77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3%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8F49" w14:textId="77777777" w:rsidR="000E7701" w:rsidRPr="000E7701" w:rsidRDefault="000E7701" w:rsidP="000E77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7DEB5" w14:textId="77777777" w:rsidR="000E7701" w:rsidRPr="000E7701" w:rsidRDefault="000E7701" w:rsidP="000E770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Occasionally struggles</w:t>
            </w:r>
          </w:p>
        </w:tc>
      </w:tr>
      <w:tr w:rsidR="000E7701" w:rsidRPr="000E7701" w14:paraId="000A0EB3" w14:textId="77777777" w:rsidTr="000E77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3774" w14:textId="77777777" w:rsidR="000E7701" w:rsidRPr="000E7701" w:rsidRDefault="000E7701" w:rsidP="000E77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35%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4422" w14:textId="77777777" w:rsidR="000E7701" w:rsidRPr="000E7701" w:rsidRDefault="000E7701" w:rsidP="000E77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58633" w14:textId="77777777" w:rsidR="000E7701" w:rsidRPr="000E7701" w:rsidRDefault="000E7701" w:rsidP="000E770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Almost always achieves</w:t>
            </w:r>
          </w:p>
        </w:tc>
      </w:tr>
      <w:tr w:rsidR="000E7701" w:rsidRPr="000E7701" w14:paraId="0C7A5BC9" w14:textId="77777777" w:rsidTr="000E77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9709" w14:textId="77777777" w:rsidR="000E7701" w:rsidRPr="000E7701" w:rsidRDefault="000E7701" w:rsidP="000E77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61%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FBFA" w14:textId="77777777" w:rsidR="000E7701" w:rsidRPr="000E7701" w:rsidRDefault="000E7701" w:rsidP="000E77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786C7" w14:textId="77777777" w:rsidR="000E7701" w:rsidRPr="000E7701" w:rsidRDefault="000E7701" w:rsidP="000E770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kern w:val="0"/>
                <w14:ligatures w14:val="none"/>
              </w:rPr>
              <w:t>Always achieves</w:t>
            </w:r>
          </w:p>
        </w:tc>
      </w:tr>
      <w:tr w:rsidR="000E7701" w:rsidRPr="000E7701" w14:paraId="218E1493" w14:textId="77777777" w:rsidTr="000E77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D92E" w14:textId="77777777" w:rsidR="000E7701" w:rsidRPr="000E7701" w:rsidRDefault="000E7701" w:rsidP="000E77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0E7701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852A" w14:textId="77777777" w:rsidR="000E7701" w:rsidRPr="000E7701" w:rsidRDefault="000E7701" w:rsidP="000E77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72B9" w14:textId="77777777" w:rsidR="000E7701" w:rsidRPr="000E7701" w:rsidRDefault="000E7701" w:rsidP="000E7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68C2B01" w14:textId="77777777" w:rsidR="007A5D58" w:rsidRDefault="007A5D58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C21431C" w14:textId="77777777" w:rsidR="00F7673F" w:rsidRDefault="00F7673F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F7F5DCD" w14:textId="77777777" w:rsidR="000E7701" w:rsidRDefault="000E7701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513421E" w14:textId="7CDD14C0" w:rsidR="007A5D58" w:rsidRPr="001825A8" w:rsidRDefault="007A5D58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 xml:space="preserve">Proficiency table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Respect</w:t>
      </w: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>, aggregated for TLP, 2024-2025</w:t>
      </w:r>
    </w:p>
    <w:tbl>
      <w:tblPr>
        <w:tblW w:w="4231" w:type="dxa"/>
        <w:tblLook w:val="04A0" w:firstRow="1" w:lastRow="0" w:firstColumn="1" w:lastColumn="0" w:noHBand="0" w:noVBand="1"/>
      </w:tblPr>
      <w:tblGrid>
        <w:gridCol w:w="960"/>
        <w:gridCol w:w="1351"/>
        <w:gridCol w:w="2106"/>
      </w:tblGrid>
      <w:tr w:rsidR="00C00056" w:rsidRPr="00C00056" w14:paraId="561258CB" w14:textId="77777777" w:rsidTr="00C00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39CD3" w14:textId="77777777" w:rsidR="00C00056" w:rsidRPr="00C00056" w:rsidRDefault="00C00056" w:rsidP="00C0005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41176" w14:textId="77777777" w:rsidR="00C00056" w:rsidRPr="00C00056" w:rsidRDefault="00C00056" w:rsidP="00C0005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B6AA" w14:textId="77777777" w:rsidR="00C00056" w:rsidRPr="00C00056" w:rsidRDefault="00C00056" w:rsidP="00C0005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C00056" w:rsidRPr="00C00056" w14:paraId="16C12479" w14:textId="77777777" w:rsidTr="00C00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5710" w14:textId="77777777" w:rsidR="00C00056" w:rsidRPr="00C00056" w:rsidRDefault="00C00056" w:rsidP="00C000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C932" w14:textId="77777777" w:rsidR="00C00056" w:rsidRPr="00C00056" w:rsidRDefault="00C00056" w:rsidP="00C000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84878" w14:textId="77777777" w:rsidR="00C00056" w:rsidRPr="00C00056" w:rsidRDefault="00C00056" w:rsidP="00C0005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Consistently struggles</w:t>
            </w:r>
          </w:p>
        </w:tc>
      </w:tr>
      <w:tr w:rsidR="00C00056" w:rsidRPr="00C00056" w14:paraId="24912E91" w14:textId="77777777" w:rsidTr="00C00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F99F" w14:textId="77777777" w:rsidR="00C00056" w:rsidRPr="00C00056" w:rsidRDefault="00C00056" w:rsidP="00C000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4%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FD0F" w14:textId="77777777" w:rsidR="00C00056" w:rsidRPr="00C00056" w:rsidRDefault="00C00056" w:rsidP="00C000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D2068" w14:textId="77777777" w:rsidR="00C00056" w:rsidRPr="00C00056" w:rsidRDefault="00C00056" w:rsidP="00C0005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Occasionally struggles</w:t>
            </w:r>
          </w:p>
        </w:tc>
      </w:tr>
      <w:tr w:rsidR="00C00056" w:rsidRPr="00C00056" w14:paraId="34EC3BA5" w14:textId="77777777" w:rsidTr="00C00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4305" w14:textId="77777777" w:rsidR="00C00056" w:rsidRPr="00C00056" w:rsidRDefault="00C00056" w:rsidP="00C000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37%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088F" w14:textId="77777777" w:rsidR="00C00056" w:rsidRPr="00C00056" w:rsidRDefault="00C00056" w:rsidP="00C000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259A" w14:textId="77777777" w:rsidR="00C00056" w:rsidRPr="00C00056" w:rsidRDefault="00C00056" w:rsidP="00C0005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Almost always achieves</w:t>
            </w:r>
          </w:p>
        </w:tc>
      </w:tr>
      <w:tr w:rsidR="00C00056" w:rsidRPr="00C00056" w14:paraId="6065FFBC" w14:textId="77777777" w:rsidTr="00C00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F358" w14:textId="77777777" w:rsidR="00C00056" w:rsidRPr="00C00056" w:rsidRDefault="00C00056" w:rsidP="00C000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59%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5EF9" w14:textId="77777777" w:rsidR="00C00056" w:rsidRPr="00C00056" w:rsidRDefault="00C00056" w:rsidP="00C000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42E6F" w14:textId="77777777" w:rsidR="00C00056" w:rsidRPr="00C00056" w:rsidRDefault="00C00056" w:rsidP="00C0005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kern w:val="0"/>
                <w14:ligatures w14:val="none"/>
              </w:rPr>
              <w:t>Always achieves</w:t>
            </w:r>
          </w:p>
        </w:tc>
      </w:tr>
      <w:tr w:rsidR="00C00056" w:rsidRPr="00C00056" w14:paraId="4F5BF9A7" w14:textId="77777777" w:rsidTr="00C00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BDF7" w14:textId="77777777" w:rsidR="00C00056" w:rsidRPr="00C00056" w:rsidRDefault="00C00056" w:rsidP="00C000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C00056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916F" w14:textId="77777777" w:rsidR="00C00056" w:rsidRPr="00C00056" w:rsidRDefault="00C00056" w:rsidP="00C000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2DF6" w14:textId="77777777" w:rsidR="00C00056" w:rsidRPr="00C00056" w:rsidRDefault="00C00056" w:rsidP="00C000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830993" w14:textId="77777777" w:rsidR="007A5D58" w:rsidRDefault="007A5D58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54514A0" w14:textId="77777777" w:rsidR="000E7701" w:rsidRPr="001825A8" w:rsidRDefault="000E7701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871F5DF" w14:textId="1D83B4EF" w:rsidR="007A5D58" w:rsidRPr="001825A8" w:rsidRDefault="007A5D58" w:rsidP="007A5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Proficiency table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Responsibil</w:t>
      </w:r>
      <w:r w:rsidR="002A471F">
        <w:rPr>
          <w:rStyle w:val="normaltextrun"/>
          <w:rFonts w:ascii="Calibri" w:hAnsi="Calibri" w:cs="Calibri"/>
          <w:b/>
          <w:bCs/>
          <w:sz w:val="22"/>
          <w:szCs w:val="22"/>
        </w:rPr>
        <w:t>ity</w:t>
      </w:r>
      <w:r w:rsidRPr="001825A8">
        <w:rPr>
          <w:rStyle w:val="normaltextrun"/>
          <w:rFonts w:ascii="Calibri" w:hAnsi="Calibri" w:cs="Calibri"/>
          <w:b/>
          <w:bCs/>
          <w:sz w:val="22"/>
          <w:szCs w:val="22"/>
        </w:rPr>
        <w:t>, aggregated for TLP, 2024-2025</w:t>
      </w:r>
    </w:p>
    <w:tbl>
      <w:tblPr>
        <w:tblW w:w="4231" w:type="dxa"/>
        <w:tblLook w:val="04A0" w:firstRow="1" w:lastRow="0" w:firstColumn="1" w:lastColumn="0" w:noHBand="0" w:noVBand="1"/>
      </w:tblPr>
      <w:tblGrid>
        <w:gridCol w:w="960"/>
        <w:gridCol w:w="1351"/>
        <w:gridCol w:w="2106"/>
      </w:tblGrid>
      <w:tr w:rsidR="0052099D" w:rsidRPr="0052099D" w14:paraId="4DFBD822" w14:textId="77777777" w:rsidTr="005209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C80C6" w14:textId="77777777" w:rsidR="0052099D" w:rsidRPr="0052099D" w:rsidRDefault="0052099D" w:rsidP="0052099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51055" w14:textId="77777777" w:rsidR="0052099D" w:rsidRPr="0052099D" w:rsidRDefault="0052099D" w:rsidP="0052099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7602" w14:textId="77777777" w:rsidR="0052099D" w:rsidRPr="0052099D" w:rsidRDefault="0052099D" w:rsidP="0052099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52099D" w:rsidRPr="0052099D" w14:paraId="48F77E56" w14:textId="77777777" w:rsidTr="005209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6D0A" w14:textId="77777777" w:rsidR="0052099D" w:rsidRPr="0052099D" w:rsidRDefault="0052099D" w:rsidP="005209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E68E" w14:textId="77777777" w:rsidR="0052099D" w:rsidRPr="0052099D" w:rsidRDefault="0052099D" w:rsidP="005209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7D231" w14:textId="77777777" w:rsidR="0052099D" w:rsidRPr="0052099D" w:rsidRDefault="0052099D" w:rsidP="0052099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Consistently struggles</w:t>
            </w:r>
          </w:p>
        </w:tc>
      </w:tr>
      <w:tr w:rsidR="0052099D" w:rsidRPr="0052099D" w14:paraId="5A3D84DF" w14:textId="77777777" w:rsidTr="005209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8F98" w14:textId="77777777" w:rsidR="0052099D" w:rsidRPr="0052099D" w:rsidRDefault="0052099D" w:rsidP="005209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4%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98B4" w14:textId="77777777" w:rsidR="0052099D" w:rsidRPr="0052099D" w:rsidRDefault="0052099D" w:rsidP="005209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20D1B" w14:textId="77777777" w:rsidR="0052099D" w:rsidRPr="0052099D" w:rsidRDefault="0052099D" w:rsidP="0052099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Occasionally struggles</w:t>
            </w:r>
          </w:p>
        </w:tc>
      </w:tr>
      <w:tr w:rsidR="0052099D" w:rsidRPr="0052099D" w14:paraId="67163749" w14:textId="77777777" w:rsidTr="005209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4478" w14:textId="77777777" w:rsidR="0052099D" w:rsidRPr="0052099D" w:rsidRDefault="0052099D" w:rsidP="005209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31%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60D3" w14:textId="77777777" w:rsidR="0052099D" w:rsidRPr="0052099D" w:rsidRDefault="0052099D" w:rsidP="005209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93F17" w14:textId="77777777" w:rsidR="0052099D" w:rsidRPr="0052099D" w:rsidRDefault="0052099D" w:rsidP="0052099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Almost always achieves</w:t>
            </w:r>
          </w:p>
        </w:tc>
      </w:tr>
      <w:tr w:rsidR="0052099D" w:rsidRPr="0052099D" w14:paraId="3188D05F" w14:textId="77777777" w:rsidTr="005209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D4DE" w14:textId="77777777" w:rsidR="0052099D" w:rsidRPr="0052099D" w:rsidRDefault="0052099D" w:rsidP="005209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64%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3152" w14:textId="77777777" w:rsidR="0052099D" w:rsidRPr="0052099D" w:rsidRDefault="0052099D" w:rsidP="005209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30D7A" w14:textId="77777777" w:rsidR="0052099D" w:rsidRPr="0052099D" w:rsidRDefault="0052099D" w:rsidP="0052099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kern w:val="0"/>
                <w14:ligatures w14:val="none"/>
              </w:rPr>
              <w:t>Always achieves</w:t>
            </w:r>
          </w:p>
        </w:tc>
      </w:tr>
      <w:tr w:rsidR="0052099D" w:rsidRPr="0052099D" w14:paraId="38639509" w14:textId="77777777" w:rsidTr="005209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9830" w14:textId="77777777" w:rsidR="0052099D" w:rsidRPr="0052099D" w:rsidRDefault="0052099D" w:rsidP="005209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52099D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54D0" w14:textId="77777777" w:rsidR="0052099D" w:rsidRPr="0052099D" w:rsidRDefault="0052099D" w:rsidP="005209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6E33" w14:textId="77777777" w:rsidR="0052099D" w:rsidRPr="0052099D" w:rsidRDefault="0052099D" w:rsidP="00520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5DA20F8" w14:textId="77777777" w:rsidR="00443312" w:rsidRDefault="00443312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305A2E6" w14:textId="77777777" w:rsidR="00C00056" w:rsidRDefault="00C00056" w:rsidP="006948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FB02DFC" w14:textId="296660B1" w:rsidR="00A43E11" w:rsidRDefault="00587CEB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gramStart"/>
      <w:r>
        <w:rPr>
          <w:rFonts w:ascii="Segoe UI" w:hAnsi="Segoe UI" w:cs="Segoe UI"/>
          <w:b/>
          <w:bCs/>
        </w:rPr>
        <w:t>D</w:t>
      </w:r>
      <w:r w:rsidR="00792E7D">
        <w:rPr>
          <w:rFonts w:ascii="Segoe UI" w:hAnsi="Segoe UI" w:cs="Segoe UI"/>
          <w:b/>
          <w:bCs/>
        </w:rPr>
        <w:t xml:space="preserve">ata </w:t>
      </w:r>
      <w:r w:rsidR="00FB4204">
        <w:rPr>
          <w:rFonts w:ascii="Segoe UI" w:hAnsi="Segoe UI" w:cs="Segoe UI"/>
          <w:b/>
          <w:bCs/>
        </w:rPr>
        <w:t xml:space="preserve"> interpretation</w:t>
      </w:r>
      <w:proofErr w:type="gramEnd"/>
    </w:p>
    <w:p w14:paraId="70E5FC79" w14:textId="1374428F" w:rsidR="00DB6A97" w:rsidRDefault="00135F65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The overall r</w:t>
      </w:r>
      <w:r w:rsidR="00DB6A97">
        <w:rPr>
          <w:rStyle w:val="eop"/>
          <w:rFonts w:ascii="Calibri" w:hAnsi="Calibri" w:cs="Calibri"/>
          <w:sz w:val="22"/>
          <w:szCs w:val="22"/>
        </w:rPr>
        <w:t>ange of scores over time</w:t>
      </w:r>
      <w:r w:rsidR="0064681F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C55FA5">
        <w:rPr>
          <w:rStyle w:val="eop"/>
          <w:rFonts w:ascii="Calibri" w:hAnsi="Calibri" w:cs="Calibri"/>
          <w:sz w:val="22"/>
          <w:szCs w:val="22"/>
        </w:rPr>
        <w:t>is not very large</w:t>
      </w:r>
      <w:r w:rsidR="00A31232">
        <w:rPr>
          <w:rStyle w:val="eop"/>
          <w:rFonts w:ascii="Calibri" w:hAnsi="Calibri" w:cs="Calibri"/>
          <w:sz w:val="22"/>
          <w:szCs w:val="22"/>
        </w:rPr>
        <w:t xml:space="preserve"> for any disposition. </w:t>
      </w:r>
      <w:r w:rsidR="009F359C" w:rsidRPr="0064681F">
        <w:rPr>
          <w:rStyle w:val="eop"/>
          <w:rFonts w:ascii="Calibri" w:hAnsi="Calibri" w:cs="Calibri"/>
          <w:sz w:val="22"/>
          <w:szCs w:val="22"/>
          <w:u w:val="single"/>
        </w:rPr>
        <w:t>For each category,</w:t>
      </w:r>
      <w:r w:rsidR="009F359C">
        <w:rPr>
          <w:rStyle w:val="eop"/>
          <w:rFonts w:ascii="Calibri" w:hAnsi="Calibri" w:cs="Calibri"/>
          <w:sz w:val="22"/>
          <w:szCs w:val="22"/>
        </w:rPr>
        <w:t xml:space="preserve"> scores across semesters are within </w:t>
      </w:r>
      <w:r w:rsidR="007E713B">
        <w:rPr>
          <w:rStyle w:val="eop"/>
          <w:rFonts w:ascii="Calibri" w:hAnsi="Calibri" w:cs="Calibri"/>
          <w:sz w:val="22"/>
          <w:szCs w:val="22"/>
        </w:rPr>
        <w:t xml:space="preserve">a .2-.3 </w:t>
      </w:r>
      <w:r w:rsidR="0064681F">
        <w:rPr>
          <w:rStyle w:val="eop"/>
          <w:rFonts w:ascii="Calibri" w:hAnsi="Calibri" w:cs="Calibri"/>
          <w:sz w:val="22"/>
          <w:szCs w:val="22"/>
        </w:rPr>
        <w:t>distance</w:t>
      </w:r>
      <w:r w:rsidR="007E713B">
        <w:rPr>
          <w:rStyle w:val="eop"/>
          <w:rFonts w:ascii="Calibri" w:hAnsi="Calibri" w:cs="Calibri"/>
          <w:sz w:val="22"/>
          <w:szCs w:val="22"/>
        </w:rPr>
        <w:t xml:space="preserve"> from each other.  </w:t>
      </w:r>
      <w:r w:rsidR="00E744A3">
        <w:rPr>
          <w:rStyle w:val="eop"/>
          <w:rFonts w:ascii="Calibri" w:hAnsi="Calibri" w:cs="Calibri"/>
          <w:sz w:val="22"/>
          <w:szCs w:val="22"/>
        </w:rPr>
        <w:t xml:space="preserve">Commitment to content is consistently the lowest rated disposition while </w:t>
      </w:r>
      <w:r w:rsidR="00DB3F5D">
        <w:rPr>
          <w:rStyle w:val="eop"/>
          <w:rFonts w:ascii="Calibri" w:hAnsi="Calibri" w:cs="Calibri"/>
          <w:sz w:val="22"/>
          <w:szCs w:val="22"/>
        </w:rPr>
        <w:t xml:space="preserve">responsibility and respect are both similarly rated (more highly). </w:t>
      </w:r>
    </w:p>
    <w:p w14:paraId="58167EC9" w14:textId="297F27B5" w:rsidR="006F1344" w:rsidRDefault="000F7E1C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All scores exceed the current target of </w:t>
      </w:r>
      <w:r w:rsidR="00D1545F">
        <w:rPr>
          <w:rStyle w:val="eop"/>
          <w:rFonts w:ascii="Calibri" w:hAnsi="Calibri" w:cs="Calibri"/>
          <w:sz w:val="22"/>
          <w:szCs w:val="22"/>
        </w:rPr>
        <w:t xml:space="preserve">3.0.  </w:t>
      </w:r>
    </w:p>
    <w:p w14:paraId="056607D3" w14:textId="1BFF30B7" w:rsidR="00587CEB" w:rsidRDefault="00587CEB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Program disaggregation for all programs having an n&gt;5</w:t>
      </w:r>
      <w:r w:rsidR="00FD1D8C">
        <w:rPr>
          <w:rStyle w:val="eop"/>
          <w:rFonts w:ascii="Calibri" w:hAnsi="Calibri" w:cs="Calibri"/>
          <w:sz w:val="22"/>
          <w:szCs w:val="22"/>
        </w:rPr>
        <w:t xml:space="preserve"> indicates that all programs exceed the target of 80% proficient (defined as a rating of 3 or 4 on the disposition scale). </w:t>
      </w:r>
      <w:r w:rsidR="00A57BA2">
        <w:rPr>
          <w:rStyle w:val="eop"/>
          <w:rFonts w:ascii="Calibri" w:hAnsi="Calibri" w:cs="Calibri"/>
          <w:sz w:val="22"/>
          <w:szCs w:val="22"/>
        </w:rPr>
        <w:t xml:space="preserve">Many programs consistently have a proficiency rate of greater than 90% on the measures. </w:t>
      </w:r>
      <w:r w:rsidR="00982207">
        <w:rPr>
          <w:rStyle w:val="eop"/>
          <w:rFonts w:ascii="Calibri" w:hAnsi="Calibri" w:cs="Calibri"/>
          <w:sz w:val="22"/>
          <w:szCs w:val="22"/>
        </w:rPr>
        <w:t xml:space="preserve"> Because these are disposition scores, </w:t>
      </w:r>
      <w:r w:rsidR="00B90F5F">
        <w:rPr>
          <w:rStyle w:val="eop"/>
          <w:rFonts w:ascii="Calibri" w:hAnsi="Calibri" w:cs="Calibri"/>
          <w:sz w:val="22"/>
          <w:szCs w:val="22"/>
        </w:rPr>
        <w:t xml:space="preserve">it makes sense that they will cluster around the 3 level (almost always).  </w:t>
      </w:r>
      <w:r w:rsidR="00490D2B">
        <w:rPr>
          <w:rStyle w:val="eop"/>
          <w:rFonts w:ascii="Calibri" w:hAnsi="Calibri" w:cs="Calibri"/>
          <w:sz w:val="22"/>
          <w:szCs w:val="22"/>
        </w:rPr>
        <w:t xml:space="preserve">We have had teacher candidates give themselves a “1” on this scale, and when that </w:t>
      </w:r>
      <w:r w:rsidR="00450F57">
        <w:rPr>
          <w:rStyle w:val="eop"/>
          <w:rFonts w:ascii="Calibri" w:hAnsi="Calibri" w:cs="Calibri"/>
          <w:sz w:val="22"/>
          <w:szCs w:val="22"/>
        </w:rPr>
        <w:t>happens,</w:t>
      </w:r>
      <w:r w:rsidR="00490D2B">
        <w:rPr>
          <w:rStyle w:val="eop"/>
          <w:rFonts w:ascii="Calibri" w:hAnsi="Calibri" w:cs="Calibri"/>
          <w:sz w:val="22"/>
          <w:szCs w:val="22"/>
        </w:rPr>
        <w:t xml:space="preserve"> they do </w:t>
      </w:r>
      <w:r w:rsidR="009465D1">
        <w:rPr>
          <w:rStyle w:val="eop"/>
          <w:rFonts w:ascii="Calibri" w:hAnsi="Calibri" w:cs="Calibri"/>
          <w:sz w:val="22"/>
          <w:szCs w:val="22"/>
        </w:rPr>
        <w:t xml:space="preserve">discuss the rating with a faculty member.  Most of the “1” ratings have involved </w:t>
      </w:r>
      <w:r w:rsidR="00450F57">
        <w:rPr>
          <w:rStyle w:val="eop"/>
          <w:rFonts w:ascii="Calibri" w:hAnsi="Calibri" w:cs="Calibri"/>
          <w:sz w:val="22"/>
          <w:szCs w:val="22"/>
        </w:rPr>
        <w:t xml:space="preserve">a misunderstanding of the scale or the item. Mentor teachers have not yet given a rating of “1” to a teacher candidate, but this is likely </w:t>
      </w:r>
      <w:proofErr w:type="gramStart"/>
      <w:r w:rsidR="00450F57">
        <w:rPr>
          <w:rStyle w:val="eop"/>
          <w:rFonts w:ascii="Calibri" w:hAnsi="Calibri" w:cs="Calibri"/>
          <w:sz w:val="22"/>
          <w:szCs w:val="22"/>
        </w:rPr>
        <w:t>due to the fact that</w:t>
      </w:r>
      <w:proofErr w:type="gramEnd"/>
      <w:r w:rsidR="00450F57">
        <w:rPr>
          <w:rStyle w:val="eop"/>
          <w:rFonts w:ascii="Calibri" w:hAnsi="Calibri" w:cs="Calibri"/>
          <w:sz w:val="22"/>
          <w:szCs w:val="22"/>
        </w:rPr>
        <w:t xml:space="preserve"> when dispositions are at that level, the teacher candidate has experienced successful remediation or been removed from </w:t>
      </w:r>
      <w:r w:rsidR="00E0321F">
        <w:rPr>
          <w:rStyle w:val="eop"/>
          <w:rFonts w:ascii="Calibri" w:hAnsi="Calibri" w:cs="Calibri"/>
          <w:sz w:val="22"/>
          <w:szCs w:val="22"/>
        </w:rPr>
        <w:t xml:space="preserve">the program. </w:t>
      </w:r>
      <w:r w:rsidR="00450F57"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0A1DD758" w14:textId="136DD6A1" w:rsidR="00DB6E60" w:rsidRDefault="00DB6E60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Commitment to Student Learning and Collaboration have the highest percent of ratings of “2” – 6% to 8%. </w:t>
      </w:r>
      <w:r w:rsidR="00441375">
        <w:rPr>
          <w:rStyle w:val="eop"/>
          <w:rFonts w:ascii="Calibri" w:hAnsi="Calibri" w:cs="Calibri"/>
          <w:sz w:val="22"/>
          <w:szCs w:val="22"/>
        </w:rPr>
        <w:t xml:space="preserve">Responsibility and Reflection have the highest percents of ratings of “4,” indicating that these two areas are relative </w:t>
      </w:r>
      <w:proofErr w:type="spellStart"/>
      <w:r w:rsidR="00441375">
        <w:rPr>
          <w:rStyle w:val="eop"/>
          <w:rFonts w:ascii="Calibri" w:hAnsi="Calibri" w:cs="Calibri"/>
          <w:sz w:val="22"/>
          <w:szCs w:val="22"/>
        </w:rPr>
        <w:t>trengths</w:t>
      </w:r>
      <w:proofErr w:type="spellEnd"/>
      <w:r w:rsidR="00441375">
        <w:rPr>
          <w:rStyle w:val="eop"/>
          <w:rFonts w:ascii="Calibri" w:hAnsi="Calibri" w:cs="Calibri"/>
          <w:sz w:val="22"/>
          <w:szCs w:val="22"/>
        </w:rPr>
        <w:t xml:space="preserve"> for our students at the point of student teaching. </w:t>
      </w:r>
    </w:p>
    <w:p w14:paraId="0316989C" w14:textId="5426329F" w:rsidR="002A243E" w:rsidRDefault="002A243E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It is also interesting to note that Mentor Teacher and Teacher Candidate scores (taken as averages) are quite close to each other</w:t>
      </w:r>
      <w:r w:rsidR="00911CDB">
        <w:rPr>
          <w:rStyle w:val="eop"/>
          <w:rFonts w:ascii="Calibri" w:hAnsi="Calibri" w:cs="Calibri"/>
          <w:sz w:val="22"/>
          <w:szCs w:val="22"/>
        </w:rPr>
        <w:t xml:space="preserve"> at the student teaching level.  They are not as consistent in the Early Level Transition Point.</w:t>
      </w:r>
    </w:p>
    <w:p w14:paraId="34ACE25E" w14:textId="77777777" w:rsidR="002A243E" w:rsidRDefault="002A243E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E273671" w14:textId="77777777" w:rsidR="002A243E" w:rsidRDefault="002A243E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56A2346" w14:textId="77777777" w:rsidR="002A243E" w:rsidRDefault="002A243E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37FD50A" w14:textId="77777777" w:rsidR="002A243E" w:rsidRDefault="002A243E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AC5EA27" w14:textId="77777777" w:rsidR="002A243E" w:rsidRDefault="002A243E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4B77104" w14:textId="77777777" w:rsidR="002A243E" w:rsidRDefault="002A243E" w:rsidP="00A43E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2A2CF16" w14:textId="1774672D" w:rsidR="008145D6" w:rsidRDefault="008145D6" w:rsidP="007E7A1A">
      <w:pPr>
        <w:tabs>
          <w:tab w:val="left" w:pos="1425"/>
        </w:tabs>
      </w:pPr>
    </w:p>
    <w:sectPr w:rsidR="008145D6" w:rsidSect="00792E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11"/>
    <w:rsid w:val="00052606"/>
    <w:rsid w:val="00055577"/>
    <w:rsid w:val="00063021"/>
    <w:rsid w:val="00091D4E"/>
    <w:rsid w:val="000A567F"/>
    <w:rsid w:val="000E7701"/>
    <w:rsid w:val="000F7E1C"/>
    <w:rsid w:val="0013549E"/>
    <w:rsid w:val="00135F65"/>
    <w:rsid w:val="0018242D"/>
    <w:rsid w:val="001825A8"/>
    <w:rsid w:val="001979C7"/>
    <w:rsid w:val="001A2BAD"/>
    <w:rsid w:val="001D02CD"/>
    <w:rsid w:val="001D2D2B"/>
    <w:rsid w:val="00214AD0"/>
    <w:rsid w:val="002437B5"/>
    <w:rsid w:val="00254A1A"/>
    <w:rsid w:val="002631A2"/>
    <w:rsid w:val="00263E66"/>
    <w:rsid w:val="0027253D"/>
    <w:rsid w:val="002A243E"/>
    <w:rsid w:val="002A466A"/>
    <w:rsid w:val="002A471F"/>
    <w:rsid w:val="002B6C0C"/>
    <w:rsid w:val="002C4E01"/>
    <w:rsid w:val="002D57DE"/>
    <w:rsid w:val="002E2F09"/>
    <w:rsid w:val="002E7B1D"/>
    <w:rsid w:val="002F1B35"/>
    <w:rsid w:val="0031798C"/>
    <w:rsid w:val="0032480C"/>
    <w:rsid w:val="00382454"/>
    <w:rsid w:val="00386C35"/>
    <w:rsid w:val="003B0888"/>
    <w:rsid w:val="003B37EC"/>
    <w:rsid w:val="003C3173"/>
    <w:rsid w:val="00414917"/>
    <w:rsid w:val="00425581"/>
    <w:rsid w:val="004310E7"/>
    <w:rsid w:val="00441375"/>
    <w:rsid w:val="00441E76"/>
    <w:rsid w:val="00443312"/>
    <w:rsid w:val="00445DA5"/>
    <w:rsid w:val="00450F57"/>
    <w:rsid w:val="00456F73"/>
    <w:rsid w:val="00474425"/>
    <w:rsid w:val="0047609C"/>
    <w:rsid w:val="00490D2B"/>
    <w:rsid w:val="004F0556"/>
    <w:rsid w:val="00502462"/>
    <w:rsid w:val="0052099D"/>
    <w:rsid w:val="00533D0A"/>
    <w:rsid w:val="0053739D"/>
    <w:rsid w:val="00540AB0"/>
    <w:rsid w:val="00551F5D"/>
    <w:rsid w:val="00587CEB"/>
    <w:rsid w:val="00592781"/>
    <w:rsid w:val="005A0BD4"/>
    <w:rsid w:val="005D235E"/>
    <w:rsid w:val="005F547F"/>
    <w:rsid w:val="00626276"/>
    <w:rsid w:val="00626A41"/>
    <w:rsid w:val="0063441F"/>
    <w:rsid w:val="0064510B"/>
    <w:rsid w:val="0064681F"/>
    <w:rsid w:val="006652EC"/>
    <w:rsid w:val="00694866"/>
    <w:rsid w:val="006B504C"/>
    <w:rsid w:val="006F1344"/>
    <w:rsid w:val="0070773B"/>
    <w:rsid w:val="007146E1"/>
    <w:rsid w:val="00724833"/>
    <w:rsid w:val="007413B7"/>
    <w:rsid w:val="007442C4"/>
    <w:rsid w:val="00773CFC"/>
    <w:rsid w:val="007908B4"/>
    <w:rsid w:val="00792E7D"/>
    <w:rsid w:val="007A5D58"/>
    <w:rsid w:val="007B79E8"/>
    <w:rsid w:val="007E713B"/>
    <w:rsid w:val="007E7A1A"/>
    <w:rsid w:val="007F0A2A"/>
    <w:rsid w:val="0081030D"/>
    <w:rsid w:val="008145D6"/>
    <w:rsid w:val="00846AF5"/>
    <w:rsid w:val="008802A0"/>
    <w:rsid w:val="008A2B47"/>
    <w:rsid w:val="008B7FF2"/>
    <w:rsid w:val="00900677"/>
    <w:rsid w:val="009020FB"/>
    <w:rsid w:val="00911CDB"/>
    <w:rsid w:val="009265CC"/>
    <w:rsid w:val="009465D1"/>
    <w:rsid w:val="00956719"/>
    <w:rsid w:val="009814FD"/>
    <w:rsid w:val="00982207"/>
    <w:rsid w:val="009C56DF"/>
    <w:rsid w:val="009D3B19"/>
    <w:rsid w:val="009D3DFA"/>
    <w:rsid w:val="009F3266"/>
    <w:rsid w:val="009F359C"/>
    <w:rsid w:val="00A072C2"/>
    <w:rsid w:val="00A075E4"/>
    <w:rsid w:val="00A31232"/>
    <w:rsid w:val="00A43E11"/>
    <w:rsid w:val="00A528D2"/>
    <w:rsid w:val="00A52DAF"/>
    <w:rsid w:val="00A57BA2"/>
    <w:rsid w:val="00A75505"/>
    <w:rsid w:val="00A75BD2"/>
    <w:rsid w:val="00A94BE8"/>
    <w:rsid w:val="00B018B0"/>
    <w:rsid w:val="00B357D4"/>
    <w:rsid w:val="00B35DE9"/>
    <w:rsid w:val="00B56AC2"/>
    <w:rsid w:val="00B8512C"/>
    <w:rsid w:val="00B90F5F"/>
    <w:rsid w:val="00BA5894"/>
    <w:rsid w:val="00BD0E60"/>
    <w:rsid w:val="00BE4481"/>
    <w:rsid w:val="00BE6F7C"/>
    <w:rsid w:val="00C00056"/>
    <w:rsid w:val="00C218C0"/>
    <w:rsid w:val="00C429F4"/>
    <w:rsid w:val="00C55FA5"/>
    <w:rsid w:val="00C76F18"/>
    <w:rsid w:val="00C87CCE"/>
    <w:rsid w:val="00CA7FF7"/>
    <w:rsid w:val="00CB0634"/>
    <w:rsid w:val="00CD6FF6"/>
    <w:rsid w:val="00CF3842"/>
    <w:rsid w:val="00CF43A8"/>
    <w:rsid w:val="00D1545F"/>
    <w:rsid w:val="00D227BC"/>
    <w:rsid w:val="00D37CD2"/>
    <w:rsid w:val="00D61FA8"/>
    <w:rsid w:val="00D6261D"/>
    <w:rsid w:val="00D64241"/>
    <w:rsid w:val="00D75A24"/>
    <w:rsid w:val="00D82BC8"/>
    <w:rsid w:val="00DB3257"/>
    <w:rsid w:val="00DB3F5D"/>
    <w:rsid w:val="00DB4F13"/>
    <w:rsid w:val="00DB6A97"/>
    <w:rsid w:val="00DB6E60"/>
    <w:rsid w:val="00DE1A39"/>
    <w:rsid w:val="00E002C6"/>
    <w:rsid w:val="00E0321F"/>
    <w:rsid w:val="00E12721"/>
    <w:rsid w:val="00E3796B"/>
    <w:rsid w:val="00E460CF"/>
    <w:rsid w:val="00E744A3"/>
    <w:rsid w:val="00E75EA1"/>
    <w:rsid w:val="00EE3204"/>
    <w:rsid w:val="00EF5D35"/>
    <w:rsid w:val="00EF7F0C"/>
    <w:rsid w:val="00F125C9"/>
    <w:rsid w:val="00F157D5"/>
    <w:rsid w:val="00F17F88"/>
    <w:rsid w:val="00F34EF6"/>
    <w:rsid w:val="00F7629E"/>
    <w:rsid w:val="00F7673F"/>
    <w:rsid w:val="00FA389D"/>
    <w:rsid w:val="00FB3FAF"/>
    <w:rsid w:val="00FB4204"/>
    <w:rsid w:val="00FC1142"/>
    <w:rsid w:val="00FD1D8C"/>
    <w:rsid w:val="00FE1E86"/>
    <w:rsid w:val="00FE2DC5"/>
    <w:rsid w:val="00FF1901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275AE"/>
  <w15:chartTrackingRefBased/>
  <w15:docId w15:val="{6D2749F6-B170-4592-90AB-22D687C4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4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43E11"/>
  </w:style>
  <w:style w:type="character" w:customStyle="1" w:styleId="eop">
    <w:name w:val="eop"/>
    <w:basedOn w:val="DefaultParagraphFont"/>
    <w:rsid w:val="00A43E11"/>
  </w:style>
  <w:style w:type="table" w:styleId="TableGrid">
    <w:name w:val="Table Grid"/>
    <w:basedOn w:val="TableNormal"/>
    <w:uiPriority w:val="39"/>
    <w:rsid w:val="0024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Borden-King</dc:creator>
  <cp:keywords/>
  <dc:description/>
  <cp:lastModifiedBy>Borden-King, Lisa</cp:lastModifiedBy>
  <cp:revision>2</cp:revision>
  <dcterms:created xsi:type="dcterms:W3CDTF">2026-04-26T22:06:00Z</dcterms:created>
  <dcterms:modified xsi:type="dcterms:W3CDTF">2026-04-26T22:06:00Z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4ffeb8cc-8f66-46e1-8cc5-201b5ab8ce01</vt:lpwstr>
  </property>
</Properties>
</file>