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7FDF" w14:textId="70FA7BEC" w:rsidR="00E764EC" w:rsidRPr="00E764EC" w:rsidRDefault="00E764EC" w:rsidP="00E764EC">
      <w:pPr>
        <w:jc w:val="center"/>
        <w:rPr>
          <w:b/>
          <w:bCs/>
          <w:caps/>
          <w:sz w:val="32"/>
          <w:szCs w:val="28"/>
        </w:rPr>
      </w:pPr>
      <w:r w:rsidRPr="00E764EC">
        <w:rPr>
          <w:b/>
          <w:bCs/>
          <w:caps/>
          <w:sz w:val="32"/>
          <w:szCs w:val="28"/>
        </w:rPr>
        <w:t>Alternate Procurement Request</w:t>
      </w:r>
    </w:p>
    <w:p w14:paraId="337433ED" w14:textId="6B477EB8" w:rsidR="00E764EC" w:rsidRDefault="00E764EC" w:rsidP="00E764EC">
      <w:pPr>
        <w:jc w:val="center"/>
      </w:pPr>
      <w:r>
        <w:t>(</w:t>
      </w:r>
      <w:r w:rsidR="00E9061F">
        <w:t>July 2023</w:t>
      </w:r>
      <w:r>
        <w:t>)</w:t>
      </w:r>
    </w:p>
    <w:p w14:paraId="65EF62CE" w14:textId="2D837101" w:rsidR="00E764EC" w:rsidRPr="00E764EC" w:rsidRDefault="00E764EC" w:rsidP="00E764EC">
      <w:pPr>
        <w:jc w:val="center"/>
        <w:rPr>
          <w:b/>
          <w:bCs/>
          <w:caps/>
        </w:rPr>
      </w:pPr>
      <w:r w:rsidRPr="00E764EC">
        <w:rPr>
          <w:b/>
          <w:bCs/>
          <w:caps/>
        </w:rPr>
        <w:t>Instructions to Requestors</w:t>
      </w:r>
    </w:p>
    <w:p w14:paraId="5E8C05A2" w14:textId="57B5E603" w:rsidR="005C09FD" w:rsidRDefault="005C09FD" w:rsidP="00E764EC">
      <w:pPr>
        <w:rPr>
          <w:sz w:val="20"/>
          <w:szCs w:val="18"/>
        </w:rPr>
      </w:pPr>
      <w:r>
        <w:rPr>
          <w:sz w:val="20"/>
          <w:szCs w:val="18"/>
        </w:rPr>
        <w:t xml:space="preserve">North Dakota Century Code requires </w:t>
      </w:r>
      <w:r w:rsidR="00407B85" w:rsidRPr="002E7922">
        <w:rPr>
          <w:sz w:val="20"/>
          <w:szCs w:val="18"/>
        </w:rPr>
        <w:t>that</w:t>
      </w:r>
      <w:r w:rsidR="00407B85">
        <w:rPr>
          <w:sz w:val="20"/>
          <w:szCs w:val="18"/>
        </w:rPr>
        <w:t xml:space="preserve"> </w:t>
      </w:r>
      <w:r w:rsidR="00407B85" w:rsidRPr="005C09FD">
        <w:rPr>
          <w:sz w:val="20"/>
          <w:szCs w:val="18"/>
        </w:rPr>
        <w:t>State agencies and institutions</w:t>
      </w:r>
      <w:r w:rsidR="00407B85" w:rsidRPr="002E7922">
        <w:rPr>
          <w:sz w:val="20"/>
          <w:szCs w:val="18"/>
        </w:rPr>
        <w:t xml:space="preserve"> </w:t>
      </w:r>
      <w:r w:rsidR="00407B85">
        <w:rPr>
          <w:sz w:val="20"/>
          <w:szCs w:val="18"/>
        </w:rPr>
        <w:t>make all</w:t>
      </w:r>
      <w:r w:rsidR="00407B85" w:rsidRPr="002E7922">
        <w:rPr>
          <w:sz w:val="20"/>
          <w:szCs w:val="18"/>
        </w:rPr>
        <w:t xml:space="preserve"> purchases through full competition with fair and equal opportunity to all qualified vendors.</w:t>
      </w:r>
      <w:r w:rsidR="00407B85">
        <w:rPr>
          <w:sz w:val="20"/>
          <w:szCs w:val="18"/>
        </w:rPr>
        <w:t xml:space="preserve"> NDUS</w:t>
      </w:r>
      <w:r w:rsidRPr="005C09FD">
        <w:rPr>
          <w:sz w:val="20"/>
          <w:szCs w:val="18"/>
        </w:rPr>
        <w:t xml:space="preserve"> institutions must prepare an Alternate Procurement (AP) Request when they plan to obtain less competition than required by purchasing thresholds</w:t>
      </w:r>
      <w:r w:rsidR="00407B85">
        <w:rPr>
          <w:sz w:val="20"/>
          <w:szCs w:val="18"/>
        </w:rPr>
        <w:t xml:space="preserve"> or when </w:t>
      </w:r>
      <w:r w:rsidR="00732A58">
        <w:rPr>
          <w:sz w:val="20"/>
          <w:szCs w:val="18"/>
        </w:rPr>
        <w:t>there is an exception to the procurement process</w:t>
      </w:r>
      <w:r w:rsidRPr="005C09FD">
        <w:rPr>
          <w:sz w:val="20"/>
          <w:szCs w:val="18"/>
        </w:rPr>
        <w:t>.</w:t>
      </w:r>
      <w:r w:rsidRPr="005C09FD">
        <w:t xml:space="preserve"> </w:t>
      </w:r>
      <w:r w:rsidRPr="005C09FD">
        <w:rPr>
          <w:sz w:val="20"/>
          <w:szCs w:val="18"/>
        </w:rPr>
        <w:t>There are some instances in which an AP Request is not required, such as purchases from government entities and state sources of supply. See</w:t>
      </w:r>
      <w:r w:rsidR="00732A58">
        <w:rPr>
          <w:sz w:val="20"/>
          <w:szCs w:val="18"/>
        </w:rPr>
        <w:t xml:space="preserve"> below</w:t>
      </w:r>
      <w:r w:rsidRPr="005C09FD">
        <w:rPr>
          <w:sz w:val="20"/>
          <w:szCs w:val="18"/>
        </w:rPr>
        <w:t xml:space="preserve"> for goods and services that do not require an AP Request.</w:t>
      </w:r>
    </w:p>
    <w:p w14:paraId="2BAE7658" w14:textId="3CCA5883" w:rsidR="00E764EC" w:rsidRPr="002E7922" w:rsidRDefault="00E764EC" w:rsidP="00E764EC">
      <w:pPr>
        <w:rPr>
          <w:sz w:val="20"/>
        </w:rPr>
      </w:pPr>
      <w:r w:rsidRPr="794A7791">
        <w:rPr>
          <w:sz w:val="20"/>
        </w:rPr>
        <w:t xml:space="preserve">Limited and non-competitive procurements should only be used when truly necessary and authorized by state law or </w:t>
      </w:r>
      <w:r w:rsidR="738080F4" w:rsidRPr="794A7791">
        <w:rPr>
          <w:sz w:val="20"/>
        </w:rPr>
        <w:t xml:space="preserve">the </w:t>
      </w:r>
      <w:r w:rsidR="00407B85" w:rsidRPr="794A7791">
        <w:rPr>
          <w:sz w:val="20"/>
        </w:rPr>
        <w:t>State Board of Higher Education (</w:t>
      </w:r>
      <w:r w:rsidRPr="794A7791">
        <w:rPr>
          <w:sz w:val="20"/>
        </w:rPr>
        <w:t>SBHE</w:t>
      </w:r>
      <w:r w:rsidR="00407B85" w:rsidRPr="794A7791">
        <w:rPr>
          <w:sz w:val="20"/>
        </w:rPr>
        <w:t>)</w:t>
      </w:r>
      <w:r w:rsidRPr="794A7791">
        <w:rPr>
          <w:sz w:val="20"/>
        </w:rPr>
        <w:t xml:space="preserve"> Policy. Contact your institution’s procurement office or Core Technology Services for assistance.</w:t>
      </w:r>
      <w:r w:rsidR="00FB0391" w:rsidRPr="794A7791">
        <w:rPr>
          <w:sz w:val="20"/>
        </w:rPr>
        <w:t xml:space="preserve"> If using federal funds or a grant, check whether the funding source has requirements around noncompetitive purchases.</w:t>
      </w:r>
    </w:p>
    <w:p w14:paraId="1386907C" w14:textId="41B88744" w:rsidR="00A109D1" w:rsidRPr="002E7922" w:rsidRDefault="00A109D1" w:rsidP="00E764EC">
      <w:pPr>
        <w:rPr>
          <w:b/>
          <w:bCs/>
          <w:sz w:val="20"/>
          <w:szCs w:val="18"/>
          <w:u w:val="single"/>
        </w:rPr>
      </w:pPr>
      <w:r w:rsidRPr="002E7922">
        <w:rPr>
          <w:b/>
          <w:bCs/>
          <w:sz w:val="20"/>
          <w:szCs w:val="18"/>
          <w:u w:val="single"/>
        </w:rPr>
        <w:t>Process and Approval Authority</w:t>
      </w:r>
    </w:p>
    <w:p w14:paraId="0DF9C293" w14:textId="42320214" w:rsidR="004A39E6" w:rsidRPr="002E7922" w:rsidRDefault="00151BF5" w:rsidP="00E764EC">
      <w:pPr>
        <w:rPr>
          <w:sz w:val="20"/>
          <w:szCs w:val="18"/>
        </w:rPr>
      </w:pPr>
      <w:bookmarkStart w:id="0" w:name="_Hlk76547527"/>
      <w:r w:rsidRPr="002E7922">
        <w:rPr>
          <w:sz w:val="20"/>
          <w:szCs w:val="18"/>
        </w:rPr>
        <w:t xml:space="preserve">Each institution may have unique processes for completing this document. Please check with your institution’s procurement office for the correct steps to take. </w:t>
      </w:r>
      <w:bookmarkEnd w:id="0"/>
      <w:r w:rsidRPr="002E7922">
        <w:rPr>
          <w:sz w:val="20"/>
          <w:szCs w:val="18"/>
        </w:rPr>
        <w:t xml:space="preserve">The Core Technology Services (CTS) chief procurement officer must approve all NDUS System Office and CTS Alternate Procurement Requests. </w:t>
      </w:r>
    </w:p>
    <w:p w14:paraId="5908D075" w14:textId="5F2A208E" w:rsidR="00A109D1" w:rsidRPr="002E7922" w:rsidRDefault="00A109D1">
      <w:pPr>
        <w:rPr>
          <w:b/>
          <w:bCs/>
          <w:sz w:val="20"/>
          <w:szCs w:val="18"/>
          <w:u w:val="single"/>
        </w:rPr>
      </w:pPr>
      <w:r w:rsidRPr="002E7922">
        <w:rPr>
          <w:b/>
          <w:bCs/>
          <w:sz w:val="20"/>
          <w:szCs w:val="18"/>
          <w:u w:val="single"/>
        </w:rPr>
        <w:t>Notice of Intent to Make a Limited or Noncompetitive Purchase</w:t>
      </w:r>
    </w:p>
    <w:p w14:paraId="559BB6FA" w14:textId="684B2E5F" w:rsidR="00B67BAD" w:rsidRPr="002E7922" w:rsidRDefault="00A109D1">
      <w:pPr>
        <w:rPr>
          <w:sz w:val="20"/>
        </w:rPr>
      </w:pPr>
      <w:r w:rsidRPr="794A7791">
        <w:rPr>
          <w:sz w:val="20"/>
        </w:rPr>
        <w:t xml:space="preserve">Notice of intent to make a limited or non-competitive purchase may be issued to attempt to identify alternate sources for the needed commodity or service. </w:t>
      </w:r>
      <w:r w:rsidR="0076159D" w:rsidRPr="794A7791">
        <w:rPr>
          <w:sz w:val="20"/>
        </w:rPr>
        <w:t xml:space="preserve">A notice of intent must be issued when entering </w:t>
      </w:r>
      <w:r w:rsidR="56F4DD09" w:rsidRPr="794A7791">
        <w:rPr>
          <w:sz w:val="20"/>
        </w:rPr>
        <w:t>into</w:t>
      </w:r>
      <w:r w:rsidR="0076159D" w:rsidRPr="794A7791">
        <w:rPr>
          <w:sz w:val="20"/>
        </w:rPr>
        <w:t xml:space="preserve"> an approved cooperative agreement. </w:t>
      </w:r>
      <w:r w:rsidR="00C6403E" w:rsidRPr="794A7791">
        <w:rPr>
          <w:sz w:val="20"/>
        </w:rPr>
        <w:t xml:space="preserve">Documentation must be retained in the institution’s solicitation files. </w:t>
      </w:r>
      <w:r w:rsidRPr="794A7791">
        <w:rPr>
          <w:sz w:val="20"/>
        </w:rPr>
        <w:t xml:space="preserve">A notice template is available on the </w:t>
      </w:r>
      <w:hyperlink r:id="rId10">
        <w:r w:rsidRPr="794A7791">
          <w:rPr>
            <w:rStyle w:val="Hyperlink"/>
            <w:sz w:val="20"/>
          </w:rPr>
          <w:t>CTS Procurement Management</w:t>
        </w:r>
      </w:hyperlink>
      <w:r w:rsidRPr="794A7791">
        <w:rPr>
          <w:sz w:val="20"/>
        </w:rPr>
        <w:t xml:space="preserve"> website. The notice describes the required commodity or service thought to be available only from limited sources or one source, and it invites vendors to contact the procurement officer to propose an alternate source. Use the State Procurement Online system to issue the notice to the appropriate state bidders list and any other known potential bidders. </w:t>
      </w:r>
      <w:r w:rsidR="00C6403E" w:rsidRPr="794A7791">
        <w:rPr>
          <w:sz w:val="20"/>
        </w:rPr>
        <w:t>For purchases requiring the Alternate Procurement form, a</w:t>
      </w:r>
      <w:r w:rsidRPr="794A7791">
        <w:rPr>
          <w:sz w:val="20"/>
        </w:rPr>
        <w:t>ttach the notice, bidders list, and</w:t>
      </w:r>
      <w:r w:rsidR="00700A7C" w:rsidRPr="794A7791">
        <w:rPr>
          <w:sz w:val="20"/>
        </w:rPr>
        <w:t>/or</w:t>
      </w:r>
      <w:r w:rsidRPr="794A7791">
        <w:rPr>
          <w:sz w:val="20"/>
        </w:rPr>
        <w:t xml:space="preserve"> any responses received to the Alternate Procurement form.</w:t>
      </w:r>
    </w:p>
    <w:p w14:paraId="1C9C4CAC" w14:textId="77777777" w:rsidR="0076159D" w:rsidRPr="00D86FE3" w:rsidRDefault="0076159D">
      <w:pPr>
        <w:rPr>
          <w:b/>
          <w:bCs/>
          <w:sz w:val="20"/>
          <w:szCs w:val="18"/>
        </w:rPr>
      </w:pPr>
      <w:r w:rsidRPr="00D86FE3">
        <w:rPr>
          <w:b/>
          <w:bCs/>
          <w:sz w:val="20"/>
          <w:szCs w:val="18"/>
        </w:rPr>
        <w:t xml:space="preserve">Determination Not Required - Exemptions </w:t>
      </w:r>
    </w:p>
    <w:p w14:paraId="69942A95" w14:textId="6A27D554" w:rsidR="00B67BAD" w:rsidRPr="002E7922" w:rsidRDefault="0076159D">
      <w:pPr>
        <w:rPr>
          <w:sz w:val="20"/>
          <w:szCs w:val="18"/>
        </w:rPr>
      </w:pPr>
      <w:r w:rsidRPr="002E7922">
        <w:rPr>
          <w:sz w:val="20"/>
          <w:szCs w:val="18"/>
        </w:rPr>
        <w:t xml:space="preserve">In accordance with </w:t>
      </w:r>
      <w:hyperlink r:id="rId11" w:history="1">
        <w:r w:rsidRPr="002E7922">
          <w:rPr>
            <w:rStyle w:val="Hyperlink"/>
            <w:sz w:val="20"/>
            <w:szCs w:val="18"/>
          </w:rPr>
          <w:t>NDUS Procedure 803.1</w:t>
        </w:r>
        <w:r w:rsidR="00C6403E" w:rsidRPr="002E7922">
          <w:rPr>
            <w:rStyle w:val="Hyperlink"/>
            <w:sz w:val="20"/>
            <w:szCs w:val="18"/>
          </w:rPr>
          <w:t xml:space="preserve"> (5)</w:t>
        </w:r>
      </w:hyperlink>
      <w:r w:rsidRPr="002E7922">
        <w:rPr>
          <w:sz w:val="20"/>
          <w:szCs w:val="18"/>
        </w:rPr>
        <w:t>, Alternate Procurement determinations are not required for the following:</w:t>
      </w:r>
    </w:p>
    <w:tbl>
      <w:tblPr>
        <w:tblStyle w:val="TableGrid"/>
        <w:tblW w:w="0" w:type="auto"/>
        <w:tblLook w:val="04A0" w:firstRow="1" w:lastRow="0" w:firstColumn="1" w:lastColumn="0" w:noHBand="0" w:noVBand="1"/>
      </w:tblPr>
      <w:tblGrid>
        <w:gridCol w:w="2425"/>
        <w:gridCol w:w="7645"/>
      </w:tblGrid>
      <w:tr w:rsidR="0076159D" w:rsidRPr="002E7922" w14:paraId="3AF0E41E" w14:textId="77777777" w:rsidTr="00C6403E">
        <w:tc>
          <w:tcPr>
            <w:tcW w:w="2425" w:type="dxa"/>
          </w:tcPr>
          <w:p w14:paraId="12D6C75D" w14:textId="1DD1FAFF" w:rsidR="0076159D" w:rsidRPr="002E7922" w:rsidRDefault="0076159D" w:rsidP="0076159D">
            <w:pPr>
              <w:rPr>
                <w:sz w:val="20"/>
                <w:szCs w:val="18"/>
              </w:rPr>
            </w:pPr>
            <w:r w:rsidRPr="002E7922">
              <w:rPr>
                <w:sz w:val="20"/>
                <w:szCs w:val="18"/>
              </w:rPr>
              <w:t>State Contracts</w:t>
            </w:r>
          </w:p>
        </w:tc>
        <w:tc>
          <w:tcPr>
            <w:tcW w:w="7645" w:type="dxa"/>
          </w:tcPr>
          <w:p w14:paraId="54AAE3C5" w14:textId="204B9D78" w:rsidR="0076159D" w:rsidRPr="002E7922" w:rsidRDefault="0076159D" w:rsidP="0076159D">
            <w:pPr>
              <w:rPr>
                <w:sz w:val="20"/>
                <w:szCs w:val="18"/>
              </w:rPr>
            </w:pPr>
            <w:r w:rsidRPr="002E7922">
              <w:rPr>
                <w:sz w:val="20"/>
                <w:szCs w:val="18"/>
              </w:rPr>
              <w:t>State contracts established by OMB.</w:t>
            </w:r>
          </w:p>
        </w:tc>
      </w:tr>
      <w:tr w:rsidR="0076159D" w:rsidRPr="002E7922" w14:paraId="17A800BE" w14:textId="77777777" w:rsidTr="00C6403E">
        <w:tc>
          <w:tcPr>
            <w:tcW w:w="2425" w:type="dxa"/>
          </w:tcPr>
          <w:p w14:paraId="466C2DC9" w14:textId="7335B3FD" w:rsidR="0076159D" w:rsidRPr="002E7922" w:rsidRDefault="0076159D" w:rsidP="0076159D">
            <w:pPr>
              <w:rPr>
                <w:sz w:val="20"/>
                <w:szCs w:val="18"/>
              </w:rPr>
            </w:pPr>
            <w:r w:rsidRPr="002E7922">
              <w:rPr>
                <w:sz w:val="20"/>
                <w:szCs w:val="18"/>
              </w:rPr>
              <w:t>Government Sources of Supply</w:t>
            </w:r>
          </w:p>
        </w:tc>
        <w:tc>
          <w:tcPr>
            <w:tcW w:w="7645" w:type="dxa"/>
          </w:tcPr>
          <w:p w14:paraId="3F255E86" w14:textId="5CC0AA30" w:rsidR="0076159D" w:rsidRPr="002E7922" w:rsidRDefault="0076159D" w:rsidP="0076159D">
            <w:pPr>
              <w:rPr>
                <w:sz w:val="20"/>
                <w:szCs w:val="18"/>
              </w:rPr>
            </w:pPr>
            <w:r w:rsidRPr="002E7922">
              <w:rPr>
                <w:sz w:val="20"/>
                <w:szCs w:val="18"/>
              </w:rPr>
              <w:t>Government entities, including but not limited to, OMB’s Central Supply, Central Duplicating, and Surplus Property divisions, Roughrider Industries, Information Technology Department (ITD), Core Technology Services (CTS), Work Activity Centers, correctional institutions, 1033 Program, 1122 Program.</w:t>
            </w:r>
          </w:p>
        </w:tc>
      </w:tr>
      <w:tr w:rsidR="0076159D" w:rsidRPr="002E7922" w14:paraId="5B69D4AB" w14:textId="77777777" w:rsidTr="00C6403E">
        <w:tc>
          <w:tcPr>
            <w:tcW w:w="2425" w:type="dxa"/>
          </w:tcPr>
          <w:p w14:paraId="23312622" w14:textId="4F8E6902" w:rsidR="0076159D" w:rsidRPr="002E7922" w:rsidRDefault="0076159D" w:rsidP="0076159D">
            <w:pPr>
              <w:rPr>
                <w:sz w:val="20"/>
                <w:szCs w:val="18"/>
              </w:rPr>
            </w:pPr>
            <w:r w:rsidRPr="002E7922">
              <w:rPr>
                <w:sz w:val="20"/>
                <w:szCs w:val="18"/>
              </w:rPr>
              <w:t>Cooperative Purchasing Agreements</w:t>
            </w:r>
          </w:p>
        </w:tc>
        <w:tc>
          <w:tcPr>
            <w:tcW w:w="7645" w:type="dxa"/>
          </w:tcPr>
          <w:p w14:paraId="2F90A72A" w14:textId="6E5622B4" w:rsidR="0076159D" w:rsidRPr="002E7922" w:rsidRDefault="0076159D" w:rsidP="0076159D">
            <w:pPr>
              <w:rPr>
                <w:sz w:val="20"/>
                <w:szCs w:val="18"/>
              </w:rPr>
            </w:pPr>
            <w:r w:rsidRPr="002E7922">
              <w:rPr>
                <w:sz w:val="20"/>
                <w:szCs w:val="18"/>
              </w:rPr>
              <w:t>Approved higher education cooperative purchase agreements. OMB cooperative purchase agreements are listed as State Contracts.</w:t>
            </w:r>
          </w:p>
        </w:tc>
      </w:tr>
      <w:tr w:rsidR="0076159D" w:rsidRPr="002E7922" w14:paraId="439BF075" w14:textId="77777777" w:rsidTr="00C6403E">
        <w:tc>
          <w:tcPr>
            <w:tcW w:w="2425" w:type="dxa"/>
          </w:tcPr>
          <w:p w14:paraId="061078DE" w14:textId="4CBB7B39" w:rsidR="0076159D" w:rsidRPr="002E7922" w:rsidRDefault="00C6403E" w:rsidP="0076159D">
            <w:pPr>
              <w:rPr>
                <w:sz w:val="20"/>
                <w:szCs w:val="18"/>
              </w:rPr>
            </w:pPr>
            <w:r w:rsidRPr="002E7922">
              <w:rPr>
                <w:sz w:val="20"/>
                <w:szCs w:val="18"/>
              </w:rPr>
              <w:t>Statutory Exemptions</w:t>
            </w:r>
          </w:p>
        </w:tc>
        <w:tc>
          <w:tcPr>
            <w:tcW w:w="7645" w:type="dxa"/>
          </w:tcPr>
          <w:p w14:paraId="40F9A0D5" w14:textId="7CBB3CF8" w:rsidR="0076159D" w:rsidRPr="002E7922" w:rsidRDefault="00950886" w:rsidP="0076159D">
            <w:pPr>
              <w:rPr>
                <w:sz w:val="20"/>
                <w:szCs w:val="18"/>
              </w:rPr>
            </w:pPr>
            <w:hyperlink r:id="rId12" w:anchor="nameddest=54-12-08" w:history="1">
              <w:r w:rsidR="00C6403E" w:rsidRPr="002E7922">
                <w:rPr>
                  <w:rStyle w:val="Hyperlink"/>
                  <w:sz w:val="20"/>
                  <w:szCs w:val="18"/>
                </w:rPr>
                <w:t>N.D.C.C. §54-12-08</w:t>
              </w:r>
            </w:hyperlink>
            <w:r w:rsidR="00C6403E" w:rsidRPr="002E7922">
              <w:rPr>
                <w:sz w:val="20"/>
                <w:szCs w:val="18"/>
              </w:rPr>
              <w:t xml:space="preserve"> - Legal counsel with attorneys not employed by the state Commodities and services exempted under </w:t>
            </w:r>
            <w:hyperlink r:id="rId13" w:anchor="nameddest=54-44p4-02p2" w:history="1">
              <w:r w:rsidR="00C6403E" w:rsidRPr="002E7922">
                <w:rPr>
                  <w:rStyle w:val="Hyperlink"/>
                  <w:sz w:val="20"/>
                  <w:szCs w:val="18"/>
                </w:rPr>
                <w:t>N.D.C.C. §54-44.4-02</w:t>
              </w:r>
            </w:hyperlink>
            <w:r w:rsidR="00C6403E" w:rsidRPr="002E7922">
              <w:rPr>
                <w:sz w:val="20"/>
                <w:szCs w:val="18"/>
              </w:rPr>
              <w:t>.</w:t>
            </w:r>
          </w:p>
        </w:tc>
      </w:tr>
      <w:tr w:rsidR="0076159D" w:rsidRPr="002E7922" w14:paraId="6F2B741B" w14:textId="77777777" w:rsidTr="00C6403E">
        <w:tc>
          <w:tcPr>
            <w:tcW w:w="2425" w:type="dxa"/>
          </w:tcPr>
          <w:p w14:paraId="5064939E" w14:textId="1273C5BE" w:rsidR="0076159D" w:rsidRPr="002E7922" w:rsidRDefault="00C6403E" w:rsidP="0076159D">
            <w:pPr>
              <w:rPr>
                <w:sz w:val="20"/>
                <w:szCs w:val="18"/>
              </w:rPr>
            </w:pPr>
            <w:r w:rsidRPr="002E7922">
              <w:rPr>
                <w:sz w:val="20"/>
                <w:szCs w:val="18"/>
              </w:rPr>
              <w:t>OMB-approved Limited Competition and Non-Competitive Purchases</w:t>
            </w:r>
          </w:p>
        </w:tc>
        <w:tc>
          <w:tcPr>
            <w:tcW w:w="7645" w:type="dxa"/>
          </w:tcPr>
          <w:p w14:paraId="3D7FE971" w14:textId="203E40A3" w:rsidR="0076159D" w:rsidRPr="002E7922" w:rsidRDefault="00C6403E" w:rsidP="0076159D">
            <w:pPr>
              <w:rPr>
                <w:sz w:val="20"/>
                <w:szCs w:val="18"/>
              </w:rPr>
            </w:pPr>
            <w:r w:rsidRPr="002E7922">
              <w:rPr>
                <w:sz w:val="20"/>
                <w:szCs w:val="18"/>
              </w:rPr>
              <w:t xml:space="preserve">Commodities and services listed in </w:t>
            </w:r>
            <w:hyperlink r:id="rId14" w:history="1">
              <w:r w:rsidRPr="002E7922">
                <w:rPr>
                  <w:rStyle w:val="Hyperlink"/>
                  <w:sz w:val="20"/>
                  <w:szCs w:val="18"/>
                </w:rPr>
                <w:t>N.D.A.C Chapter 4-12-09-01</w:t>
              </w:r>
            </w:hyperlink>
            <w:r w:rsidRPr="002E7922">
              <w:rPr>
                <w:sz w:val="20"/>
                <w:szCs w:val="18"/>
              </w:rPr>
              <w:t>.</w:t>
            </w:r>
          </w:p>
        </w:tc>
      </w:tr>
    </w:tbl>
    <w:p w14:paraId="3A16E690" w14:textId="600B7877" w:rsidR="0076159D" w:rsidRDefault="0076159D" w:rsidP="0076159D"/>
    <w:p w14:paraId="33195B4D" w14:textId="012D3F71" w:rsidR="00752E97" w:rsidRPr="00752E97" w:rsidRDefault="00752E97" w:rsidP="00752E97">
      <w:pPr>
        <w:jc w:val="center"/>
        <w:rPr>
          <w:b/>
          <w:bCs/>
          <w:i/>
          <w:iCs/>
          <w:caps/>
          <w:sz w:val="24"/>
          <w:szCs w:val="22"/>
        </w:rPr>
      </w:pPr>
      <w:r w:rsidRPr="00752E97">
        <w:rPr>
          <w:b/>
          <w:bCs/>
          <w:i/>
          <w:iCs/>
          <w:caps/>
          <w:sz w:val="24"/>
          <w:szCs w:val="22"/>
        </w:rPr>
        <w:t>Delete this page before submission.</w:t>
      </w:r>
    </w:p>
    <w:p w14:paraId="009E4214" w14:textId="77777777" w:rsidR="00C6403E" w:rsidRDefault="00C6403E" w:rsidP="0076159D"/>
    <w:p w14:paraId="2A491437" w14:textId="77777777" w:rsidR="00B67BAD" w:rsidRDefault="00B67BAD">
      <w:pPr>
        <w:sectPr w:rsidR="00B67BAD" w:rsidSect="00E764EC">
          <w:headerReference w:type="default" r:id="rId15"/>
          <w:footerReference w:type="default" r:id="rId16"/>
          <w:pgSz w:w="12240" w:h="15840"/>
          <w:pgMar w:top="720" w:right="1080" w:bottom="720" w:left="1080" w:header="720" w:footer="720" w:gutter="0"/>
          <w:cols w:space="720"/>
          <w:titlePg/>
          <w:docGrid w:linePitch="360"/>
        </w:sectPr>
      </w:pPr>
    </w:p>
    <w:p w14:paraId="22762D37" w14:textId="6F79DC65" w:rsidR="00FA1502" w:rsidRPr="0030107B" w:rsidRDefault="00FA1502" w:rsidP="00FA1502">
      <w:pPr>
        <w:tabs>
          <w:tab w:val="left" w:pos="8010"/>
        </w:tabs>
        <w:spacing w:after="0"/>
        <w:rPr>
          <w:b/>
          <w:bCs/>
          <w:caps/>
          <w:sz w:val="24"/>
          <w:szCs w:val="24"/>
        </w:rPr>
      </w:pPr>
      <w:r w:rsidRPr="0030107B">
        <w:rPr>
          <w:b/>
          <w:bCs/>
          <w:caps/>
          <w:sz w:val="24"/>
          <w:szCs w:val="24"/>
        </w:rPr>
        <w:lastRenderedPageBreak/>
        <w:t>Institution Information</w:t>
      </w:r>
    </w:p>
    <w:p w14:paraId="530BD491" w14:textId="03064448" w:rsidR="00B67BAD" w:rsidRPr="00251CC5" w:rsidRDefault="002E7922" w:rsidP="00FA1502">
      <w:pPr>
        <w:tabs>
          <w:tab w:val="left" w:pos="8010"/>
        </w:tabs>
        <w:spacing w:after="0"/>
        <w:rPr>
          <w:sz w:val="20"/>
        </w:rPr>
      </w:pPr>
      <w:r w:rsidRPr="00251CC5">
        <w:rPr>
          <w:sz w:val="20"/>
        </w:rPr>
        <w:t>Institution/Entity</w:t>
      </w:r>
      <w:r w:rsidRPr="00251CC5">
        <w:rPr>
          <w:sz w:val="20"/>
        </w:rPr>
        <w:tab/>
        <w:t>Date of the Request</w:t>
      </w:r>
    </w:p>
    <w:tbl>
      <w:tblPr>
        <w:tblStyle w:val="TableGrid"/>
        <w:tblW w:w="0" w:type="auto"/>
        <w:tblLook w:val="04A0" w:firstRow="1" w:lastRow="0" w:firstColumn="1" w:lastColumn="0" w:noHBand="0" w:noVBand="1"/>
      </w:tblPr>
      <w:tblGrid>
        <w:gridCol w:w="7825"/>
        <w:gridCol w:w="2245"/>
      </w:tblGrid>
      <w:tr w:rsidR="002E7922" w:rsidRPr="00251CC5" w14:paraId="3DD5CC2B" w14:textId="77777777" w:rsidTr="002E7922">
        <w:tc>
          <w:tcPr>
            <w:tcW w:w="7825" w:type="dxa"/>
          </w:tcPr>
          <w:p w14:paraId="2D5B6CBC" w14:textId="77777777" w:rsidR="002E7922" w:rsidRPr="00251CC5" w:rsidRDefault="002E7922">
            <w:pPr>
              <w:rPr>
                <w:sz w:val="20"/>
              </w:rPr>
            </w:pPr>
          </w:p>
        </w:tc>
        <w:tc>
          <w:tcPr>
            <w:tcW w:w="2245" w:type="dxa"/>
          </w:tcPr>
          <w:p w14:paraId="276737D6" w14:textId="77777777" w:rsidR="002E7922" w:rsidRPr="00251CC5" w:rsidRDefault="002E7922">
            <w:pPr>
              <w:rPr>
                <w:sz w:val="20"/>
              </w:rPr>
            </w:pPr>
          </w:p>
        </w:tc>
      </w:tr>
    </w:tbl>
    <w:p w14:paraId="725EA8E7" w14:textId="3CA8F75F" w:rsidR="002E7922" w:rsidRPr="00251CC5" w:rsidRDefault="002E7922" w:rsidP="00FA1502">
      <w:pPr>
        <w:tabs>
          <w:tab w:val="left" w:pos="4140"/>
          <w:tab w:val="left" w:pos="5760"/>
        </w:tabs>
        <w:spacing w:after="0"/>
        <w:rPr>
          <w:sz w:val="20"/>
        </w:rPr>
      </w:pPr>
      <w:r w:rsidRPr="00251CC5">
        <w:rPr>
          <w:sz w:val="20"/>
        </w:rPr>
        <w:t>Procurement Officer</w:t>
      </w:r>
      <w:r w:rsidRPr="00251CC5">
        <w:rPr>
          <w:sz w:val="20"/>
        </w:rPr>
        <w:tab/>
        <w:t>Telephone</w:t>
      </w:r>
      <w:r w:rsidRPr="00251CC5">
        <w:rPr>
          <w:sz w:val="20"/>
        </w:rPr>
        <w:tab/>
        <w:t>Email Address</w:t>
      </w:r>
    </w:p>
    <w:tbl>
      <w:tblPr>
        <w:tblStyle w:val="TableGrid"/>
        <w:tblW w:w="0" w:type="auto"/>
        <w:tblLook w:val="04A0" w:firstRow="1" w:lastRow="0" w:firstColumn="1" w:lastColumn="0" w:noHBand="0" w:noVBand="1"/>
      </w:tblPr>
      <w:tblGrid>
        <w:gridCol w:w="4045"/>
        <w:gridCol w:w="1530"/>
        <w:gridCol w:w="4495"/>
      </w:tblGrid>
      <w:tr w:rsidR="002E7922" w:rsidRPr="00251CC5" w14:paraId="63FA0488" w14:textId="77777777" w:rsidTr="00FA1502">
        <w:tc>
          <w:tcPr>
            <w:tcW w:w="4045" w:type="dxa"/>
          </w:tcPr>
          <w:p w14:paraId="199920F8" w14:textId="77777777" w:rsidR="002E7922" w:rsidRPr="00251CC5" w:rsidRDefault="002E7922">
            <w:pPr>
              <w:rPr>
                <w:sz w:val="20"/>
              </w:rPr>
            </w:pPr>
          </w:p>
        </w:tc>
        <w:tc>
          <w:tcPr>
            <w:tcW w:w="1530" w:type="dxa"/>
          </w:tcPr>
          <w:p w14:paraId="22929639" w14:textId="4549D624" w:rsidR="002E7922" w:rsidRPr="00251CC5" w:rsidRDefault="002E7922">
            <w:pPr>
              <w:rPr>
                <w:sz w:val="20"/>
              </w:rPr>
            </w:pPr>
          </w:p>
        </w:tc>
        <w:tc>
          <w:tcPr>
            <w:tcW w:w="4495" w:type="dxa"/>
          </w:tcPr>
          <w:p w14:paraId="6C99D129" w14:textId="77777777" w:rsidR="002E7922" w:rsidRPr="00251CC5" w:rsidRDefault="002E7922">
            <w:pPr>
              <w:rPr>
                <w:sz w:val="20"/>
              </w:rPr>
            </w:pPr>
          </w:p>
        </w:tc>
      </w:tr>
    </w:tbl>
    <w:p w14:paraId="5BF3202D" w14:textId="377F9F3C" w:rsidR="00FA1502" w:rsidRPr="00FA1502" w:rsidRDefault="00FA1502" w:rsidP="00FA1502">
      <w:pPr>
        <w:spacing w:before="120" w:after="0"/>
        <w:rPr>
          <w:b/>
          <w:bCs/>
          <w:caps/>
          <w:sz w:val="20"/>
        </w:rPr>
      </w:pPr>
      <w:bookmarkStart w:id="1" w:name="_Hlk140158137"/>
      <w:r w:rsidRPr="0030107B">
        <w:rPr>
          <w:b/>
          <w:bCs/>
          <w:caps/>
          <w:sz w:val="24"/>
          <w:szCs w:val="24"/>
        </w:rPr>
        <w:t>Procurement Type</w:t>
      </w:r>
      <w:r>
        <w:rPr>
          <w:b/>
          <w:bCs/>
          <w:caps/>
          <w:sz w:val="20"/>
        </w:rPr>
        <w:t xml:space="preserve"> </w:t>
      </w:r>
      <w:r w:rsidRPr="00FA1502">
        <w:rPr>
          <w:i/>
          <w:iCs/>
          <w:caps/>
          <w:sz w:val="18"/>
          <w:szCs w:val="18"/>
        </w:rPr>
        <w:t>(</w:t>
      </w:r>
      <w:r w:rsidRPr="00FA1502">
        <w:rPr>
          <w:i/>
          <w:iCs/>
          <w:sz w:val="18"/>
          <w:szCs w:val="18"/>
        </w:rPr>
        <w:t>check all that apply</w:t>
      </w:r>
      <w:r w:rsidRPr="00FA1502">
        <w:rPr>
          <w:i/>
          <w:iCs/>
          <w:caps/>
          <w:sz w:val="18"/>
          <w:szCs w:val="18"/>
        </w:rPr>
        <w:t>)</w:t>
      </w:r>
    </w:p>
    <w:p w14:paraId="19263B7C" w14:textId="5A69943B" w:rsidR="00FA1502" w:rsidRDefault="00950886" w:rsidP="00FA1502">
      <w:pPr>
        <w:tabs>
          <w:tab w:val="left" w:pos="2880"/>
          <w:tab w:val="left" w:pos="6120"/>
        </w:tabs>
        <w:rPr>
          <w:sz w:val="20"/>
        </w:rPr>
      </w:pPr>
      <w:sdt>
        <w:sdtPr>
          <w:rPr>
            <w:sz w:val="20"/>
          </w:rPr>
          <w:id w:val="407036768"/>
          <w14:checkbox>
            <w14:checked w14:val="0"/>
            <w14:checkedState w14:val="2612" w14:font="MS Gothic"/>
            <w14:uncheckedState w14:val="2610" w14:font="MS Gothic"/>
          </w14:checkbox>
        </w:sdtPr>
        <w:sdtEndPr/>
        <w:sdtContent>
          <w:r w:rsidR="00FA1502">
            <w:rPr>
              <w:rFonts w:ascii="MS Gothic" w:eastAsia="MS Gothic" w:hAnsi="MS Gothic" w:hint="eastAsia"/>
              <w:sz w:val="20"/>
            </w:rPr>
            <w:t>☐</w:t>
          </w:r>
        </w:sdtContent>
      </w:sdt>
      <w:r w:rsidR="00FA1502">
        <w:rPr>
          <w:sz w:val="20"/>
        </w:rPr>
        <w:t xml:space="preserve"> Noncompetitive Procurement</w:t>
      </w:r>
      <w:r w:rsidR="00FA1502">
        <w:rPr>
          <w:sz w:val="20"/>
        </w:rPr>
        <w:tab/>
      </w:r>
      <w:sdt>
        <w:sdtPr>
          <w:rPr>
            <w:sz w:val="20"/>
          </w:rPr>
          <w:id w:val="-697693513"/>
          <w14:checkbox>
            <w14:checked w14:val="0"/>
            <w14:checkedState w14:val="2612" w14:font="MS Gothic"/>
            <w14:uncheckedState w14:val="2610" w14:font="MS Gothic"/>
          </w14:checkbox>
        </w:sdtPr>
        <w:sdtEndPr/>
        <w:sdtContent>
          <w:r w:rsidR="00FA1502">
            <w:rPr>
              <w:rFonts w:ascii="MS Gothic" w:eastAsia="MS Gothic" w:hAnsi="MS Gothic" w:hint="eastAsia"/>
              <w:sz w:val="20"/>
            </w:rPr>
            <w:t>☐</w:t>
          </w:r>
        </w:sdtContent>
      </w:sdt>
      <w:r w:rsidR="00FA1502">
        <w:rPr>
          <w:sz w:val="20"/>
        </w:rPr>
        <w:t xml:space="preserve"> Limited Competitive Procurement</w:t>
      </w:r>
      <w:bookmarkEnd w:id="1"/>
      <w:r w:rsidR="00FA1502">
        <w:rPr>
          <w:sz w:val="20"/>
        </w:rPr>
        <w:tab/>
      </w:r>
      <w:sdt>
        <w:sdtPr>
          <w:rPr>
            <w:sz w:val="20"/>
          </w:rPr>
          <w:id w:val="1586726799"/>
          <w14:checkbox>
            <w14:checked w14:val="0"/>
            <w14:checkedState w14:val="2612" w14:font="MS Gothic"/>
            <w14:uncheckedState w14:val="2610" w14:font="MS Gothic"/>
          </w14:checkbox>
        </w:sdtPr>
        <w:sdtEndPr/>
        <w:sdtContent>
          <w:r w:rsidR="00FA1502">
            <w:rPr>
              <w:rFonts w:ascii="MS Gothic" w:eastAsia="MS Gothic" w:hAnsi="MS Gothic" w:hint="eastAsia"/>
              <w:sz w:val="20"/>
            </w:rPr>
            <w:t>☐</w:t>
          </w:r>
        </w:sdtContent>
      </w:sdt>
      <w:r w:rsidR="00FA1502">
        <w:rPr>
          <w:sz w:val="20"/>
        </w:rPr>
        <w:t xml:space="preserve"> Other: </w:t>
      </w:r>
      <w:sdt>
        <w:sdtPr>
          <w:rPr>
            <w:sz w:val="20"/>
          </w:rPr>
          <w:alias w:val="Procurement Type: Other"/>
          <w:tag w:val="Procurement Type: Other"/>
          <w:id w:val="-60955673"/>
          <w:placeholder>
            <w:docPart w:val="B091439E15FE45488D01A33529ABF4DB"/>
          </w:placeholder>
          <w:showingPlcHdr/>
          <w:dropDownList>
            <w:listItem w:value="Choose an item."/>
            <w:listItem w:displayText="Renegotiation Clause" w:value="Renegotiation Clause"/>
            <w:listItem w:displayText="Contract Amendment Exception" w:value="Contract Amendment Exception"/>
            <w:listItem w:displayText="Formal Sealed Competitive Process Exception" w:value="Formal Sealed Competitive Process Exception"/>
            <w:listItem w:displayText="Other: Describe in Description Section" w:value="Other: Describe in Description Section"/>
          </w:dropDownList>
        </w:sdtPr>
        <w:sdtEndPr/>
        <w:sdtContent>
          <w:r w:rsidR="0045580E" w:rsidRPr="00FB4DF1">
            <w:rPr>
              <w:rStyle w:val="PlaceholderText"/>
            </w:rPr>
            <w:t>Choose an item.</w:t>
          </w:r>
        </w:sdtContent>
      </w:sdt>
    </w:p>
    <w:p w14:paraId="6DFF0699" w14:textId="77777777" w:rsidR="005A661D" w:rsidRPr="0030107B" w:rsidRDefault="005A661D" w:rsidP="005A661D">
      <w:pPr>
        <w:spacing w:before="120" w:after="0"/>
        <w:rPr>
          <w:b/>
          <w:bCs/>
          <w:caps/>
          <w:sz w:val="24"/>
          <w:szCs w:val="24"/>
        </w:rPr>
      </w:pPr>
      <w:r w:rsidRPr="0030107B">
        <w:rPr>
          <w:b/>
          <w:bCs/>
          <w:caps/>
          <w:sz w:val="24"/>
          <w:szCs w:val="24"/>
        </w:rPr>
        <w:t>Vendor Information</w:t>
      </w:r>
    </w:p>
    <w:p w14:paraId="6BAD0F0B" w14:textId="77777777" w:rsidR="005A661D" w:rsidRDefault="005A661D" w:rsidP="005A661D">
      <w:pPr>
        <w:tabs>
          <w:tab w:val="left" w:pos="4860"/>
          <w:tab w:val="left" w:pos="7920"/>
          <w:tab w:val="left" w:pos="8730"/>
        </w:tabs>
        <w:spacing w:after="0"/>
        <w:rPr>
          <w:sz w:val="20"/>
        </w:rPr>
      </w:pPr>
      <w:r>
        <w:rPr>
          <w:sz w:val="20"/>
        </w:rPr>
        <w:t>Vendor Name</w:t>
      </w:r>
      <w:r>
        <w:rPr>
          <w:sz w:val="20"/>
        </w:rPr>
        <w:tab/>
        <w:t>Website</w:t>
      </w:r>
    </w:p>
    <w:tbl>
      <w:tblPr>
        <w:tblStyle w:val="TableGrid"/>
        <w:tblW w:w="0" w:type="auto"/>
        <w:tblLook w:val="04A0" w:firstRow="1" w:lastRow="0" w:firstColumn="1" w:lastColumn="0" w:noHBand="0" w:noVBand="1"/>
      </w:tblPr>
      <w:tblGrid>
        <w:gridCol w:w="4855"/>
        <w:gridCol w:w="5215"/>
      </w:tblGrid>
      <w:tr w:rsidR="005A661D" w14:paraId="3E8AD5D1" w14:textId="77777777" w:rsidTr="008830DA">
        <w:tc>
          <w:tcPr>
            <w:tcW w:w="4855" w:type="dxa"/>
          </w:tcPr>
          <w:p w14:paraId="692715C0" w14:textId="77777777" w:rsidR="005A661D" w:rsidRDefault="005A661D" w:rsidP="008830DA">
            <w:pPr>
              <w:rPr>
                <w:sz w:val="20"/>
              </w:rPr>
            </w:pPr>
          </w:p>
        </w:tc>
        <w:tc>
          <w:tcPr>
            <w:tcW w:w="5215" w:type="dxa"/>
          </w:tcPr>
          <w:p w14:paraId="1B7A513A" w14:textId="77777777" w:rsidR="005A661D" w:rsidRDefault="005A661D" w:rsidP="008830DA">
            <w:pPr>
              <w:rPr>
                <w:sz w:val="20"/>
              </w:rPr>
            </w:pPr>
          </w:p>
        </w:tc>
      </w:tr>
    </w:tbl>
    <w:p w14:paraId="6F399228" w14:textId="77777777" w:rsidR="005A661D" w:rsidRDefault="005A661D" w:rsidP="005A661D">
      <w:pPr>
        <w:tabs>
          <w:tab w:val="left" w:pos="3420"/>
          <w:tab w:val="left" w:pos="6750"/>
        </w:tabs>
        <w:spacing w:after="0"/>
        <w:rPr>
          <w:sz w:val="20"/>
        </w:rPr>
      </w:pPr>
      <w:r>
        <w:rPr>
          <w:sz w:val="20"/>
        </w:rPr>
        <w:t>Contact Person</w:t>
      </w:r>
      <w:r>
        <w:rPr>
          <w:sz w:val="20"/>
        </w:rPr>
        <w:tab/>
        <w:t>Telephone</w:t>
      </w:r>
      <w:r>
        <w:rPr>
          <w:sz w:val="20"/>
        </w:rPr>
        <w:tab/>
        <w:t>Email Address</w:t>
      </w:r>
    </w:p>
    <w:tbl>
      <w:tblPr>
        <w:tblStyle w:val="TableGrid"/>
        <w:tblW w:w="0" w:type="auto"/>
        <w:tblLook w:val="04A0" w:firstRow="1" w:lastRow="0" w:firstColumn="1" w:lastColumn="0" w:noHBand="0" w:noVBand="1"/>
      </w:tblPr>
      <w:tblGrid>
        <w:gridCol w:w="3356"/>
        <w:gridCol w:w="1499"/>
        <w:gridCol w:w="5215"/>
      </w:tblGrid>
      <w:tr w:rsidR="005A661D" w14:paraId="2A3C7D10" w14:textId="77777777" w:rsidTr="008830DA">
        <w:tc>
          <w:tcPr>
            <w:tcW w:w="3356" w:type="dxa"/>
          </w:tcPr>
          <w:p w14:paraId="0EA90391" w14:textId="77777777" w:rsidR="005A661D" w:rsidRDefault="005A661D" w:rsidP="008830DA">
            <w:pPr>
              <w:rPr>
                <w:sz w:val="20"/>
              </w:rPr>
            </w:pPr>
          </w:p>
        </w:tc>
        <w:tc>
          <w:tcPr>
            <w:tcW w:w="1499" w:type="dxa"/>
          </w:tcPr>
          <w:p w14:paraId="04FA8F0C" w14:textId="77777777" w:rsidR="005A661D" w:rsidRDefault="005A661D" w:rsidP="008830DA">
            <w:pPr>
              <w:rPr>
                <w:sz w:val="20"/>
              </w:rPr>
            </w:pPr>
          </w:p>
        </w:tc>
        <w:tc>
          <w:tcPr>
            <w:tcW w:w="5215" w:type="dxa"/>
          </w:tcPr>
          <w:p w14:paraId="1B4E69C5" w14:textId="77777777" w:rsidR="005A661D" w:rsidRDefault="005A661D" w:rsidP="008830DA">
            <w:pPr>
              <w:rPr>
                <w:sz w:val="20"/>
              </w:rPr>
            </w:pPr>
          </w:p>
        </w:tc>
      </w:tr>
    </w:tbl>
    <w:p w14:paraId="078276E2" w14:textId="1959B6FD" w:rsidR="00FA1502" w:rsidRPr="0030107B" w:rsidRDefault="002E7922" w:rsidP="00FA1502">
      <w:pPr>
        <w:spacing w:before="120" w:after="0"/>
        <w:rPr>
          <w:caps/>
          <w:sz w:val="24"/>
          <w:szCs w:val="24"/>
        </w:rPr>
      </w:pPr>
      <w:r w:rsidRPr="0030107B">
        <w:rPr>
          <w:b/>
          <w:bCs/>
          <w:caps/>
          <w:sz w:val="24"/>
          <w:szCs w:val="24"/>
        </w:rPr>
        <w:t>Description of Service or Commodity</w:t>
      </w:r>
    </w:p>
    <w:p w14:paraId="7626BB41" w14:textId="525BAE4F" w:rsidR="002E7922" w:rsidRPr="00251CC5" w:rsidRDefault="002E7922">
      <w:pPr>
        <w:rPr>
          <w:sz w:val="20"/>
        </w:rPr>
      </w:pPr>
      <w:bookmarkStart w:id="2" w:name="_Hlk140159455"/>
      <w:r w:rsidRPr="00251CC5">
        <w:rPr>
          <w:sz w:val="20"/>
        </w:rPr>
        <w:t xml:space="preserve">Describe </w:t>
      </w:r>
      <w:r w:rsidR="00FA1502" w:rsidRPr="00FA1502">
        <w:rPr>
          <w:sz w:val="20"/>
        </w:rPr>
        <w:t>exactly what is being purchased and the intended purpose</w:t>
      </w:r>
      <w:r w:rsidRPr="00251CC5">
        <w:rPr>
          <w:sz w:val="20"/>
        </w:rPr>
        <w:t>. (Include manufacturer, brand, model, and other identifiers.)</w:t>
      </w:r>
    </w:p>
    <w:tbl>
      <w:tblPr>
        <w:tblStyle w:val="TableGrid"/>
        <w:tblW w:w="0" w:type="auto"/>
        <w:tblLook w:val="04A0" w:firstRow="1" w:lastRow="0" w:firstColumn="1" w:lastColumn="0" w:noHBand="0" w:noVBand="1"/>
      </w:tblPr>
      <w:tblGrid>
        <w:gridCol w:w="10070"/>
      </w:tblGrid>
      <w:tr w:rsidR="002E7922" w:rsidRPr="00587712" w14:paraId="49858593" w14:textId="77777777" w:rsidTr="002E7922">
        <w:trPr>
          <w:trHeight w:val="2681"/>
        </w:trPr>
        <w:tc>
          <w:tcPr>
            <w:tcW w:w="10070" w:type="dxa"/>
          </w:tcPr>
          <w:p w14:paraId="731A0D84" w14:textId="77777777" w:rsidR="002E7922" w:rsidRPr="00587712" w:rsidRDefault="002E7922">
            <w:pPr>
              <w:rPr>
                <w:sz w:val="20"/>
              </w:rPr>
            </w:pPr>
          </w:p>
        </w:tc>
      </w:tr>
    </w:tbl>
    <w:bookmarkEnd w:id="2"/>
    <w:p w14:paraId="5A9FCE14" w14:textId="4DBEC140" w:rsidR="00FA1502" w:rsidRPr="0030107B" w:rsidRDefault="00FA1502" w:rsidP="00FA1502">
      <w:pPr>
        <w:spacing w:before="120" w:after="0"/>
        <w:rPr>
          <w:b/>
          <w:bCs/>
          <w:sz w:val="24"/>
          <w:szCs w:val="24"/>
        </w:rPr>
      </w:pPr>
      <w:r w:rsidRPr="0030107B">
        <w:rPr>
          <w:b/>
          <w:bCs/>
          <w:sz w:val="24"/>
          <w:szCs w:val="24"/>
        </w:rPr>
        <w:t>MARKET RESEARCH, JUSTIFICATION, AND SUPPORTING DOCUMENTATION</w:t>
      </w:r>
    </w:p>
    <w:p w14:paraId="3FB1AF68" w14:textId="208EEB36" w:rsidR="00FA1502" w:rsidRDefault="00FA1502" w:rsidP="00FA1502">
      <w:pPr>
        <w:spacing w:after="60"/>
        <w:rPr>
          <w:sz w:val="20"/>
        </w:rPr>
      </w:pPr>
      <w:r w:rsidRPr="00FA1502">
        <w:rPr>
          <w:sz w:val="20"/>
        </w:rPr>
        <w:t>Describe any market research that has been conducted and what other services or commodities exist. Explain WHY a fully competitive</w:t>
      </w:r>
      <w:r>
        <w:rPr>
          <w:sz w:val="20"/>
        </w:rPr>
        <w:t xml:space="preserve"> </w:t>
      </w:r>
      <w:r w:rsidRPr="00FA1502">
        <w:rPr>
          <w:sz w:val="20"/>
        </w:rPr>
        <w:t>procurement process is impracticable or not in the best interest of the state. Factual evidence which is sufficient for the approver to independently</w:t>
      </w:r>
      <w:r>
        <w:rPr>
          <w:sz w:val="20"/>
        </w:rPr>
        <w:t xml:space="preserve"> </w:t>
      </w:r>
      <w:r w:rsidRPr="00FA1502">
        <w:rPr>
          <w:sz w:val="20"/>
        </w:rPr>
        <w:t>determine that the justification is true and accurate MUST be provided. Factual evidence consisting of written documents, reports, supporting data,</w:t>
      </w:r>
      <w:r>
        <w:rPr>
          <w:sz w:val="20"/>
        </w:rPr>
        <w:t xml:space="preserve"> </w:t>
      </w:r>
      <w:r w:rsidRPr="00FA1502">
        <w:rPr>
          <w:sz w:val="20"/>
        </w:rPr>
        <w:t>affidavits, patent or copyright information, research, or other information may be attached as supplemental information to this request.</w:t>
      </w:r>
    </w:p>
    <w:tbl>
      <w:tblPr>
        <w:tblStyle w:val="TableGrid"/>
        <w:tblW w:w="10397" w:type="dxa"/>
        <w:tblLook w:val="04A0" w:firstRow="1" w:lastRow="0" w:firstColumn="1" w:lastColumn="0" w:noHBand="0" w:noVBand="1"/>
      </w:tblPr>
      <w:tblGrid>
        <w:gridCol w:w="10397"/>
      </w:tblGrid>
      <w:tr w:rsidR="00FA1502" w14:paraId="6BDC9FA2" w14:textId="77777777" w:rsidTr="00A26854">
        <w:trPr>
          <w:trHeight w:val="3281"/>
        </w:trPr>
        <w:tc>
          <w:tcPr>
            <w:tcW w:w="10397" w:type="dxa"/>
          </w:tcPr>
          <w:p w14:paraId="1EA2EFF7" w14:textId="77777777" w:rsidR="00FA1502" w:rsidRDefault="00FA1502" w:rsidP="008830DA">
            <w:pPr>
              <w:spacing w:after="60"/>
              <w:rPr>
                <w:sz w:val="20"/>
              </w:rPr>
            </w:pPr>
          </w:p>
        </w:tc>
      </w:tr>
    </w:tbl>
    <w:p w14:paraId="724A374F" w14:textId="77777777" w:rsidR="00FA1502" w:rsidRPr="0030107B" w:rsidRDefault="00587712" w:rsidP="00FA1502">
      <w:pPr>
        <w:spacing w:before="120" w:after="0"/>
        <w:rPr>
          <w:b/>
          <w:bCs/>
          <w:caps/>
          <w:sz w:val="24"/>
          <w:szCs w:val="24"/>
        </w:rPr>
      </w:pPr>
      <w:r w:rsidRPr="0030107B">
        <w:rPr>
          <w:b/>
          <w:bCs/>
          <w:caps/>
          <w:sz w:val="24"/>
          <w:szCs w:val="24"/>
        </w:rPr>
        <w:lastRenderedPageBreak/>
        <w:t>Total Cost</w:t>
      </w:r>
    </w:p>
    <w:p w14:paraId="3124F72D" w14:textId="63B6989D" w:rsidR="00587712" w:rsidRPr="00FA1502" w:rsidRDefault="00FA1502" w:rsidP="007365FA">
      <w:pPr>
        <w:tabs>
          <w:tab w:val="left" w:pos="2880"/>
          <w:tab w:val="left" w:pos="6120"/>
        </w:tabs>
        <w:spacing w:after="0"/>
        <w:rPr>
          <w:sz w:val="20"/>
        </w:rPr>
      </w:pPr>
      <w:r w:rsidRPr="00FA1502">
        <w:rPr>
          <w:sz w:val="20"/>
        </w:rPr>
        <w:t>The total cost must include all contract renewal options, extension option, maintenance, support, hosting, travel, and any other costs which</w:t>
      </w:r>
      <w:r>
        <w:rPr>
          <w:sz w:val="20"/>
        </w:rPr>
        <w:t xml:space="preserve"> </w:t>
      </w:r>
      <w:r w:rsidRPr="00FA1502">
        <w:rPr>
          <w:sz w:val="20"/>
        </w:rPr>
        <w:t>will be incurred during the life of the contract (e.g., $10,000 per year with two (2) renewal options = $30,000 Total Cost). Consider if this is a</w:t>
      </w:r>
      <w:r>
        <w:rPr>
          <w:sz w:val="20"/>
        </w:rPr>
        <w:t xml:space="preserve"> </w:t>
      </w:r>
      <w:r w:rsidRPr="00FA1502">
        <w:rPr>
          <w:sz w:val="20"/>
        </w:rPr>
        <w:t>one-time purchase or if multiple purchases will be made (e.g., 4 units this year and 4 units next year).</w:t>
      </w:r>
    </w:p>
    <w:tbl>
      <w:tblPr>
        <w:tblStyle w:val="TableGrid"/>
        <w:tblW w:w="10075" w:type="dxa"/>
        <w:tblLook w:val="04A0" w:firstRow="1" w:lastRow="0" w:firstColumn="1" w:lastColumn="0" w:noHBand="0" w:noVBand="1"/>
      </w:tblPr>
      <w:tblGrid>
        <w:gridCol w:w="10075"/>
      </w:tblGrid>
      <w:tr w:rsidR="00587712" w14:paraId="2F84BA86" w14:textId="77777777" w:rsidTr="00B33110">
        <w:tc>
          <w:tcPr>
            <w:tcW w:w="10075" w:type="dxa"/>
          </w:tcPr>
          <w:p w14:paraId="1F342BE5" w14:textId="77777777" w:rsidR="00587712" w:rsidRDefault="00587712">
            <w:pPr>
              <w:rPr>
                <w:sz w:val="20"/>
              </w:rPr>
            </w:pPr>
            <w:bookmarkStart w:id="3" w:name="_Hlk74730474"/>
          </w:p>
        </w:tc>
      </w:tr>
    </w:tbl>
    <w:bookmarkEnd w:id="3"/>
    <w:p w14:paraId="2760F9E8" w14:textId="14BD084C" w:rsidR="007365FA" w:rsidRPr="00FA1502" w:rsidRDefault="007365FA" w:rsidP="007365FA">
      <w:pPr>
        <w:spacing w:before="120" w:after="0"/>
        <w:rPr>
          <w:b/>
          <w:bCs/>
          <w:caps/>
          <w:sz w:val="20"/>
        </w:rPr>
      </w:pPr>
      <w:r w:rsidRPr="0030107B">
        <w:rPr>
          <w:b/>
          <w:bCs/>
          <w:caps/>
          <w:sz w:val="24"/>
          <w:szCs w:val="24"/>
        </w:rPr>
        <w:t>CONTRACT INFORMATION</w:t>
      </w:r>
      <w:r w:rsidRPr="007365FA">
        <w:rPr>
          <w:b/>
          <w:bCs/>
          <w:caps/>
          <w:sz w:val="20"/>
        </w:rPr>
        <w:t xml:space="preserve"> </w:t>
      </w:r>
      <w:r w:rsidRPr="007365FA">
        <w:rPr>
          <w:i/>
          <w:iCs/>
          <w:sz w:val="20"/>
        </w:rPr>
        <w:t>(recurring purchases only)</w:t>
      </w:r>
    </w:p>
    <w:p w14:paraId="4E5FF8BF" w14:textId="28B8EA60" w:rsidR="007365FA" w:rsidRDefault="007365FA" w:rsidP="00FA398B">
      <w:pPr>
        <w:tabs>
          <w:tab w:val="left" w:pos="2880"/>
          <w:tab w:val="left" w:pos="6120"/>
        </w:tabs>
        <w:ind w:right="720"/>
        <w:rPr>
          <w:sz w:val="20"/>
        </w:rPr>
      </w:pPr>
      <w:r w:rsidRPr="007365FA">
        <w:rPr>
          <w:sz w:val="20"/>
        </w:rPr>
        <w:t>Describe the contract period being contemplated. Attach any draft contracts, vendor quotes, or proposals.</w:t>
      </w:r>
    </w:p>
    <w:p w14:paraId="59042BC2" w14:textId="15F28A64" w:rsidR="007365FA" w:rsidRDefault="007365FA" w:rsidP="32956146">
      <w:pPr>
        <w:tabs>
          <w:tab w:val="left" w:pos="3510"/>
          <w:tab w:val="left" w:pos="6840"/>
        </w:tabs>
        <w:spacing w:after="0"/>
        <w:ind w:left="864"/>
        <w:rPr>
          <w:sz w:val="20"/>
        </w:rPr>
      </w:pPr>
      <w:r>
        <w:rPr>
          <w:sz w:val="20"/>
        </w:rPr>
        <w:t>Initial Contract Term</w:t>
      </w:r>
      <w:r>
        <w:tab/>
      </w:r>
      <w:r>
        <w:rPr>
          <w:sz w:val="20"/>
        </w:rPr>
        <w:t>Number of Renewals</w:t>
      </w:r>
      <w:r>
        <w:tab/>
      </w:r>
      <w:r>
        <w:rPr>
          <w:sz w:val="20"/>
        </w:rPr>
        <w:t>Extension Period</w:t>
      </w:r>
    </w:p>
    <w:p w14:paraId="14B3E357" w14:textId="6C8D9D4B" w:rsidR="007365FA" w:rsidRPr="00FA1502" w:rsidRDefault="007365FA" w:rsidP="007365FA">
      <w:pPr>
        <w:tabs>
          <w:tab w:val="left" w:pos="3510"/>
          <w:tab w:val="left" w:pos="6840"/>
        </w:tabs>
        <w:spacing w:after="0"/>
        <w:rPr>
          <w:sz w:val="20"/>
        </w:rPr>
      </w:pPr>
      <w:r w:rsidRPr="007365FA">
        <w:rPr>
          <w:i/>
          <w:iCs/>
          <w:sz w:val="18"/>
          <w:szCs w:val="18"/>
        </w:rPr>
        <w:t>(</w:t>
      </w:r>
      <w:r w:rsidR="00F724E8" w:rsidRPr="007365FA">
        <w:rPr>
          <w:i/>
          <w:iCs/>
          <w:sz w:val="18"/>
          <w:szCs w:val="18"/>
        </w:rPr>
        <w:t>Provide</w:t>
      </w:r>
      <w:r w:rsidRPr="007365FA">
        <w:rPr>
          <w:i/>
          <w:iCs/>
          <w:sz w:val="18"/>
          <w:szCs w:val="18"/>
        </w:rPr>
        <w:t xml:space="preserve"> dates - </w:t>
      </w:r>
      <w:r w:rsidR="00F724E8" w:rsidRPr="007365FA">
        <w:rPr>
          <w:i/>
          <w:iCs/>
          <w:sz w:val="18"/>
          <w:szCs w:val="18"/>
        </w:rPr>
        <w:t>e.g.,</w:t>
      </w:r>
      <w:r w:rsidRPr="007365FA">
        <w:rPr>
          <w:i/>
          <w:iCs/>
          <w:sz w:val="18"/>
          <w:szCs w:val="18"/>
        </w:rPr>
        <w:t xml:space="preserve"> 7/1/21-6/30/22)</w:t>
      </w:r>
      <w:r>
        <w:tab/>
      </w:r>
      <w:r w:rsidRPr="007365FA">
        <w:rPr>
          <w:i/>
          <w:iCs/>
          <w:sz w:val="18"/>
          <w:szCs w:val="18"/>
        </w:rPr>
        <w:t>(</w:t>
      </w:r>
      <w:r w:rsidR="00F724E8" w:rsidRPr="007365FA">
        <w:rPr>
          <w:i/>
          <w:iCs/>
          <w:sz w:val="18"/>
          <w:szCs w:val="18"/>
        </w:rPr>
        <w:t>e.g.,</w:t>
      </w:r>
      <w:r w:rsidRPr="007365FA">
        <w:rPr>
          <w:i/>
          <w:iCs/>
          <w:sz w:val="18"/>
          <w:szCs w:val="18"/>
        </w:rPr>
        <w:t xml:space="preserve"> 2 at 12 months each)</w:t>
      </w:r>
      <w:r>
        <w:tab/>
      </w:r>
      <w:r w:rsidRPr="007365FA">
        <w:rPr>
          <w:i/>
          <w:iCs/>
          <w:sz w:val="18"/>
          <w:szCs w:val="18"/>
        </w:rPr>
        <w:t>(</w:t>
      </w:r>
      <w:r w:rsidR="00F724E8" w:rsidRPr="007365FA">
        <w:rPr>
          <w:i/>
          <w:iCs/>
          <w:sz w:val="18"/>
          <w:szCs w:val="18"/>
        </w:rPr>
        <w:t>e.g.,</w:t>
      </w:r>
      <w:r w:rsidRPr="007365FA">
        <w:rPr>
          <w:i/>
          <w:iCs/>
          <w:sz w:val="18"/>
          <w:szCs w:val="18"/>
        </w:rPr>
        <w:t xml:space="preserve"> </w:t>
      </w:r>
      <w:r w:rsidR="00F724E8" w:rsidRPr="007365FA">
        <w:rPr>
          <w:i/>
          <w:iCs/>
          <w:sz w:val="18"/>
          <w:szCs w:val="18"/>
        </w:rPr>
        <w:t>6-month</w:t>
      </w:r>
      <w:r w:rsidRPr="007365FA">
        <w:rPr>
          <w:i/>
          <w:iCs/>
          <w:sz w:val="18"/>
          <w:szCs w:val="18"/>
        </w:rPr>
        <w:t>,</w:t>
      </w:r>
      <w:r w:rsidR="00F724E8">
        <w:rPr>
          <w:i/>
          <w:iCs/>
          <w:sz w:val="18"/>
          <w:szCs w:val="18"/>
        </w:rPr>
        <w:t xml:space="preserve"> </w:t>
      </w:r>
      <w:r w:rsidRPr="007365FA">
        <w:rPr>
          <w:i/>
          <w:iCs/>
          <w:sz w:val="18"/>
          <w:szCs w:val="18"/>
        </w:rPr>
        <w:t>12</w:t>
      </w:r>
      <w:r w:rsidR="00F724E8">
        <w:rPr>
          <w:i/>
          <w:iCs/>
          <w:sz w:val="18"/>
          <w:szCs w:val="18"/>
        </w:rPr>
        <w:t>-</w:t>
      </w:r>
      <w:r w:rsidRPr="007365FA">
        <w:rPr>
          <w:i/>
          <w:iCs/>
          <w:sz w:val="18"/>
          <w:szCs w:val="18"/>
        </w:rPr>
        <w:t>month)</w:t>
      </w:r>
    </w:p>
    <w:tbl>
      <w:tblPr>
        <w:tblStyle w:val="TableGrid"/>
        <w:tblpPr w:leftFromText="180" w:rightFromText="180" w:vertAnchor="text" w:horzAnchor="margin" w:tblpY="4"/>
        <w:tblW w:w="0" w:type="auto"/>
        <w:tblLook w:val="04A0" w:firstRow="1" w:lastRow="0" w:firstColumn="1" w:lastColumn="0" w:noHBand="0" w:noVBand="1"/>
      </w:tblPr>
      <w:tblGrid>
        <w:gridCol w:w="3356"/>
        <w:gridCol w:w="3357"/>
        <w:gridCol w:w="3357"/>
      </w:tblGrid>
      <w:tr w:rsidR="007365FA" w14:paraId="703E15F1" w14:textId="77777777" w:rsidTr="008830DA">
        <w:tc>
          <w:tcPr>
            <w:tcW w:w="3356" w:type="dxa"/>
          </w:tcPr>
          <w:p w14:paraId="1E681855" w14:textId="77777777" w:rsidR="007365FA" w:rsidRDefault="007365FA" w:rsidP="007365FA">
            <w:pPr>
              <w:rPr>
                <w:sz w:val="20"/>
              </w:rPr>
            </w:pPr>
          </w:p>
        </w:tc>
        <w:tc>
          <w:tcPr>
            <w:tcW w:w="3357" w:type="dxa"/>
          </w:tcPr>
          <w:p w14:paraId="1A7A3312" w14:textId="77777777" w:rsidR="007365FA" w:rsidRDefault="007365FA" w:rsidP="007365FA">
            <w:pPr>
              <w:rPr>
                <w:sz w:val="20"/>
              </w:rPr>
            </w:pPr>
          </w:p>
        </w:tc>
        <w:tc>
          <w:tcPr>
            <w:tcW w:w="3357" w:type="dxa"/>
          </w:tcPr>
          <w:p w14:paraId="3B34B630" w14:textId="0B6AE1E0" w:rsidR="007365FA" w:rsidRDefault="007365FA" w:rsidP="007365FA">
            <w:pPr>
              <w:rPr>
                <w:sz w:val="20"/>
              </w:rPr>
            </w:pPr>
          </w:p>
        </w:tc>
      </w:tr>
    </w:tbl>
    <w:p w14:paraId="3F515288" w14:textId="74368B10" w:rsidR="00B33110" w:rsidRDefault="007365FA" w:rsidP="008830DA">
      <w:pPr>
        <w:tabs>
          <w:tab w:val="left" w:pos="1980"/>
          <w:tab w:val="left" w:pos="3960"/>
        </w:tabs>
        <w:spacing w:before="120"/>
        <w:rPr>
          <w:sz w:val="20"/>
        </w:rPr>
      </w:pPr>
      <w:r w:rsidRPr="007365FA">
        <w:rPr>
          <w:sz w:val="20"/>
        </w:rPr>
        <w:t>A renegotiation option would normally be used for a strategic solution/product, for example a critical line of business application that is expected</w:t>
      </w:r>
      <w:r>
        <w:rPr>
          <w:sz w:val="20"/>
        </w:rPr>
        <w:t xml:space="preserve"> </w:t>
      </w:r>
      <w:r w:rsidRPr="007365FA">
        <w:rPr>
          <w:sz w:val="20"/>
        </w:rPr>
        <w:t xml:space="preserve">to be used for an extended </w:t>
      </w:r>
      <w:bookmarkStart w:id="4" w:name="_Int_jjgtPZc9"/>
      <w:proofErr w:type="gramStart"/>
      <w:r w:rsidRPr="007365FA">
        <w:rPr>
          <w:sz w:val="20"/>
        </w:rPr>
        <w:t>period of time</w:t>
      </w:r>
      <w:bookmarkEnd w:id="4"/>
      <w:proofErr w:type="gramEnd"/>
      <w:r w:rsidRPr="007365FA">
        <w:rPr>
          <w:sz w:val="20"/>
        </w:rPr>
        <w:t xml:space="preserve"> and where it is in the state's best interest to have the ability to renegotiate the contract. Renegotiation</w:t>
      </w:r>
      <w:r>
        <w:rPr>
          <w:sz w:val="20"/>
        </w:rPr>
        <w:t xml:space="preserve"> </w:t>
      </w:r>
      <w:r w:rsidRPr="007365FA">
        <w:rPr>
          <w:sz w:val="20"/>
        </w:rPr>
        <w:t>occurs after completion of the initial term and any extensions and renewals.</w:t>
      </w:r>
    </w:p>
    <w:p w14:paraId="4861B7EB" w14:textId="7B6C9800" w:rsidR="00251CC5" w:rsidRDefault="00E50F6C" w:rsidP="00E50F6C">
      <w:pPr>
        <w:tabs>
          <w:tab w:val="left" w:pos="5310"/>
        </w:tabs>
        <w:rPr>
          <w:sz w:val="20"/>
        </w:rPr>
      </w:pPr>
      <w:r>
        <w:rPr>
          <w:sz w:val="20"/>
        </w:rPr>
        <w:t>Will a renegotiation option be included in the contract?</w:t>
      </w:r>
      <w:r w:rsidR="00251CC5">
        <w:rPr>
          <w:sz w:val="20"/>
        </w:rPr>
        <w:t xml:space="preserve">  </w:t>
      </w:r>
      <w:sdt>
        <w:sdtPr>
          <w:rPr>
            <w:sz w:val="20"/>
          </w:rPr>
          <w:id w:val="500861884"/>
          <w14:checkbox>
            <w14:checked w14:val="0"/>
            <w14:checkedState w14:val="2612" w14:font="MS Gothic"/>
            <w14:uncheckedState w14:val="2610" w14:font="MS Gothic"/>
          </w14:checkbox>
        </w:sdtPr>
        <w:sdtEndPr/>
        <w:sdtContent>
          <w:r w:rsidR="00251CC5">
            <w:rPr>
              <w:rFonts w:ascii="MS Gothic" w:eastAsia="MS Gothic" w:hAnsi="MS Gothic" w:hint="eastAsia"/>
              <w:sz w:val="20"/>
            </w:rPr>
            <w:t>☐</w:t>
          </w:r>
        </w:sdtContent>
      </w:sdt>
      <w:r w:rsidR="00251CC5" w:rsidRPr="794A7791">
        <w:rPr>
          <w:b/>
          <w:sz w:val="20"/>
        </w:rPr>
        <w:t xml:space="preserve"> Yes</w:t>
      </w:r>
      <w:r w:rsidR="00251CC5">
        <w:rPr>
          <w:sz w:val="20"/>
        </w:rPr>
        <w:tab/>
      </w:r>
      <w:sdt>
        <w:sdtPr>
          <w:rPr>
            <w:sz w:val="20"/>
          </w:rPr>
          <w:id w:val="-1104106745"/>
          <w14:checkbox>
            <w14:checked w14:val="0"/>
            <w14:checkedState w14:val="2612" w14:font="MS Gothic"/>
            <w14:uncheckedState w14:val="2610" w14:font="MS Gothic"/>
          </w14:checkbox>
        </w:sdtPr>
        <w:sdtEndPr/>
        <w:sdtContent>
          <w:r w:rsidR="00251CC5">
            <w:rPr>
              <w:rFonts w:ascii="MS Gothic" w:eastAsia="MS Gothic" w:hAnsi="MS Gothic" w:hint="eastAsia"/>
              <w:sz w:val="20"/>
            </w:rPr>
            <w:t>☐</w:t>
          </w:r>
        </w:sdtContent>
      </w:sdt>
      <w:r w:rsidR="00251CC5">
        <w:rPr>
          <w:sz w:val="20"/>
        </w:rPr>
        <w:t xml:space="preserve"> </w:t>
      </w:r>
      <w:r w:rsidR="00251CC5" w:rsidRPr="794A7791">
        <w:rPr>
          <w:b/>
          <w:sz w:val="20"/>
        </w:rPr>
        <w:t>No</w:t>
      </w:r>
    </w:p>
    <w:p w14:paraId="7807FA87" w14:textId="6FACF9A3" w:rsidR="00CF251D" w:rsidRPr="00CF251D" w:rsidRDefault="00CF251D" w:rsidP="00CF251D">
      <w:pPr>
        <w:spacing w:before="120" w:after="0"/>
        <w:rPr>
          <w:b/>
          <w:bCs/>
          <w:caps/>
          <w:sz w:val="20"/>
        </w:rPr>
      </w:pPr>
      <w:r w:rsidRPr="0030107B">
        <w:rPr>
          <w:b/>
          <w:bCs/>
          <w:caps/>
          <w:sz w:val="24"/>
          <w:szCs w:val="24"/>
        </w:rPr>
        <w:t>NOTICE OF INTENT TO MAKE A LIMITED OR NONCOMPETITIVE PURCHASE ISSUED</w:t>
      </w:r>
      <w:r w:rsidRPr="00CF251D">
        <w:rPr>
          <w:b/>
          <w:bCs/>
          <w:caps/>
          <w:sz w:val="20"/>
        </w:rPr>
        <w:t xml:space="preserve"> </w:t>
      </w:r>
      <w:r w:rsidRPr="00CF251D">
        <w:rPr>
          <w:i/>
          <w:iCs/>
          <w:sz w:val="20"/>
        </w:rPr>
        <w:t>(if applicable)</w:t>
      </w:r>
    </w:p>
    <w:p w14:paraId="6522FC76" w14:textId="50CC0312" w:rsidR="00CF251D" w:rsidRDefault="00CF251D" w:rsidP="00CF251D">
      <w:pPr>
        <w:ind w:left="274" w:hanging="274"/>
        <w:rPr>
          <w:sz w:val="20"/>
        </w:rPr>
      </w:pPr>
      <w:r w:rsidRPr="00CF251D">
        <w:rPr>
          <w:sz w:val="20"/>
        </w:rPr>
        <w:t>Attach a copy of the notice, bidders and SPO Online System solicitation notification email.</w:t>
      </w:r>
    </w:p>
    <w:p w14:paraId="3D9E9DD5" w14:textId="0E69172E" w:rsidR="00CF251D" w:rsidRDefault="00CF251D" w:rsidP="003D6116">
      <w:pPr>
        <w:tabs>
          <w:tab w:val="left" w:pos="1890"/>
          <w:tab w:val="left" w:pos="3870"/>
        </w:tabs>
        <w:ind w:left="274" w:hanging="274"/>
        <w:rPr>
          <w:sz w:val="20"/>
        </w:rPr>
      </w:pPr>
      <w:r>
        <w:rPr>
          <w:sz w:val="20"/>
        </w:rPr>
        <w:t>Responses Received:</w:t>
      </w:r>
      <w:r>
        <w:rPr>
          <w:sz w:val="20"/>
        </w:rPr>
        <w:tab/>
      </w:r>
      <w:sdt>
        <w:sdtPr>
          <w:rPr>
            <w:sz w:val="20"/>
          </w:rPr>
          <w:id w:val="10508842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F251D">
        <w:rPr>
          <w:b/>
          <w:bCs/>
          <w:sz w:val="20"/>
        </w:rPr>
        <w:t>NO</w:t>
      </w:r>
      <w:r>
        <w:rPr>
          <w:sz w:val="20"/>
        </w:rPr>
        <w:t>-None received</w:t>
      </w:r>
      <w:r>
        <w:rPr>
          <w:sz w:val="20"/>
        </w:rPr>
        <w:tab/>
      </w:r>
      <w:sdt>
        <w:sdtPr>
          <w:rPr>
            <w:sz w:val="20"/>
          </w:rPr>
          <w:id w:val="14517373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00CF251D">
        <w:rPr>
          <w:b/>
          <w:bCs/>
          <w:sz w:val="20"/>
        </w:rPr>
        <w:t>YES</w:t>
      </w:r>
      <w:r>
        <w:rPr>
          <w:sz w:val="20"/>
        </w:rPr>
        <w:t>-response(s) received. See actions below.</w:t>
      </w:r>
    </w:p>
    <w:p w14:paraId="70AAE792" w14:textId="00C20001" w:rsidR="00CF251D" w:rsidRDefault="00CF251D" w:rsidP="00CF251D">
      <w:pPr>
        <w:tabs>
          <w:tab w:val="left" w:pos="1890"/>
          <w:tab w:val="left" w:pos="3870"/>
        </w:tabs>
        <w:spacing w:after="0"/>
        <w:rPr>
          <w:sz w:val="20"/>
        </w:rPr>
      </w:pPr>
      <w:r w:rsidRPr="00CF251D">
        <w:rPr>
          <w:sz w:val="20"/>
        </w:rPr>
        <w:t>Attach vendor responses, communications, evaluations, and determinations. List vendor(s) below.</w:t>
      </w:r>
    </w:p>
    <w:tbl>
      <w:tblPr>
        <w:tblStyle w:val="TableGrid"/>
        <w:tblW w:w="10069" w:type="dxa"/>
        <w:tblLook w:val="04A0" w:firstRow="1" w:lastRow="0" w:firstColumn="1" w:lastColumn="0" w:noHBand="0" w:noVBand="1"/>
      </w:tblPr>
      <w:tblGrid>
        <w:gridCol w:w="10069"/>
      </w:tblGrid>
      <w:tr w:rsidR="00CF251D" w14:paraId="3B20450F" w14:textId="77777777" w:rsidTr="00F70001">
        <w:trPr>
          <w:trHeight w:val="2942"/>
        </w:trPr>
        <w:tc>
          <w:tcPr>
            <w:tcW w:w="10069" w:type="dxa"/>
          </w:tcPr>
          <w:p w14:paraId="5D2A4EDC" w14:textId="77777777" w:rsidR="00CF251D" w:rsidRDefault="00CF251D" w:rsidP="00CF251D">
            <w:pPr>
              <w:rPr>
                <w:sz w:val="20"/>
              </w:rPr>
            </w:pPr>
          </w:p>
        </w:tc>
      </w:tr>
    </w:tbl>
    <w:p w14:paraId="6FC7035C" w14:textId="399E0845" w:rsidR="00D86FE3" w:rsidRPr="0030107B" w:rsidRDefault="1B6AC51E" w:rsidP="006430E2">
      <w:pPr>
        <w:keepNext/>
        <w:spacing w:before="120" w:after="0"/>
        <w:rPr>
          <w:b/>
          <w:bCs/>
          <w:caps/>
          <w:sz w:val="24"/>
          <w:szCs w:val="24"/>
        </w:rPr>
      </w:pPr>
      <w:r w:rsidRPr="794A7791">
        <w:rPr>
          <w:b/>
          <w:bCs/>
          <w:caps/>
          <w:sz w:val="24"/>
          <w:szCs w:val="24"/>
        </w:rPr>
        <w:t>Requestor's</w:t>
      </w:r>
      <w:r w:rsidR="0015461F" w:rsidRPr="0030107B">
        <w:rPr>
          <w:b/>
          <w:bCs/>
          <w:caps/>
          <w:sz w:val="24"/>
          <w:szCs w:val="24"/>
        </w:rPr>
        <w:t xml:space="preserve"> Information</w:t>
      </w:r>
    </w:p>
    <w:tbl>
      <w:tblPr>
        <w:tblStyle w:val="TableGrid"/>
        <w:tblW w:w="0" w:type="auto"/>
        <w:tblLook w:val="04A0" w:firstRow="1" w:lastRow="0" w:firstColumn="1" w:lastColumn="0" w:noHBand="0" w:noVBand="1"/>
      </w:tblPr>
      <w:tblGrid>
        <w:gridCol w:w="2695"/>
        <w:gridCol w:w="7375"/>
      </w:tblGrid>
      <w:tr w:rsidR="00D86FE3" w14:paraId="071C9B62" w14:textId="77777777" w:rsidTr="00752E97">
        <w:tc>
          <w:tcPr>
            <w:tcW w:w="2695" w:type="dxa"/>
            <w:vAlign w:val="center"/>
          </w:tcPr>
          <w:p w14:paraId="5BEAA282" w14:textId="284B1F3A" w:rsidR="00D86FE3" w:rsidRDefault="00D86FE3" w:rsidP="00752E97">
            <w:pPr>
              <w:spacing w:after="0"/>
              <w:rPr>
                <w:sz w:val="20"/>
              </w:rPr>
            </w:pPr>
            <w:r>
              <w:rPr>
                <w:sz w:val="20"/>
              </w:rPr>
              <w:t>Name</w:t>
            </w:r>
          </w:p>
        </w:tc>
        <w:tc>
          <w:tcPr>
            <w:tcW w:w="7375" w:type="dxa"/>
          </w:tcPr>
          <w:p w14:paraId="53693B81" w14:textId="77777777" w:rsidR="00D86FE3" w:rsidRDefault="00D86FE3" w:rsidP="00D86FE3">
            <w:pPr>
              <w:spacing w:after="60"/>
              <w:rPr>
                <w:sz w:val="20"/>
              </w:rPr>
            </w:pPr>
          </w:p>
        </w:tc>
      </w:tr>
      <w:tr w:rsidR="00D86FE3" w14:paraId="5A0F39FB" w14:textId="77777777" w:rsidTr="00752E97">
        <w:tc>
          <w:tcPr>
            <w:tcW w:w="2695" w:type="dxa"/>
            <w:vAlign w:val="center"/>
          </w:tcPr>
          <w:p w14:paraId="6F81B812" w14:textId="64F9C1EC" w:rsidR="00D86FE3" w:rsidRDefault="00D86FE3" w:rsidP="00752E97">
            <w:pPr>
              <w:spacing w:after="0"/>
              <w:rPr>
                <w:sz w:val="20"/>
              </w:rPr>
            </w:pPr>
            <w:r>
              <w:rPr>
                <w:sz w:val="20"/>
              </w:rPr>
              <w:t>Title</w:t>
            </w:r>
          </w:p>
        </w:tc>
        <w:tc>
          <w:tcPr>
            <w:tcW w:w="7375" w:type="dxa"/>
          </w:tcPr>
          <w:p w14:paraId="5E7F7097" w14:textId="77777777" w:rsidR="00D86FE3" w:rsidRDefault="00D86FE3" w:rsidP="00D86FE3">
            <w:pPr>
              <w:spacing w:after="60"/>
              <w:rPr>
                <w:sz w:val="20"/>
              </w:rPr>
            </w:pPr>
          </w:p>
        </w:tc>
      </w:tr>
      <w:tr w:rsidR="00D86FE3" w14:paraId="1B5A0A72" w14:textId="77777777" w:rsidTr="00752E97">
        <w:trPr>
          <w:trHeight w:val="674"/>
        </w:trPr>
        <w:tc>
          <w:tcPr>
            <w:tcW w:w="2695" w:type="dxa"/>
            <w:vAlign w:val="center"/>
          </w:tcPr>
          <w:p w14:paraId="153025F5" w14:textId="5C916103" w:rsidR="00D86FE3" w:rsidRDefault="00D86FE3" w:rsidP="00752E97">
            <w:pPr>
              <w:spacing w:after="0"/>
              <w:rPr>
                <w:sz w:val="20"/>
              </w:rPr>
            </w:pPr>
            <w:r>
              <w:rPr>
                <w:sz w:val="20"/>
              </w:rPr>
              <w:t>Signature</w:t>
            </w:r>
          </w:p>
        </w:tc>
        <w:tc>
          <w:tcPr>
            <w:tcW w:w="7375" w:type="dxa"/>
          </w:tcPr>
          <w:p w14:paraId="732CDE53" w14:textId="77777777" w:rsidR="00D86FE3" w:rsidRDefault="00D86FE3" w:rsidP="00D86FE3">
            <w:pPr>
              <w:spacing w:after="60"/>
              <w:rPr>
                <w:sz w:val="20"/>
              </w:rPr>
            </w:pPr>
          </w:p>
        </w:tc>
      </w:tr>
      <w:tr w:rsidR="00752E97" w14:paraId="2C06C573" w14:textId="77777777" w:rsidTr="00752E97">
        <w:trPr>
          <w:trHeight w:val="60"/>
        </w:trPr>
        <w:tc>
          <w:tcPr>
            <w:tcW w:w="2695" w:type="dxa"/>
            <w:vAlign w:val="center"/>
          </w:tcPr>
          <w:p w14:paraId="3835EA51" w14:textId="2DB370B3" w:rsidR="00752E97" w:rsidRDefault="00752E97" w:rsidP="00752E97">
            <w:pPr>
              <w:spacing w:after="0"/>
              <w:rPr>
                <w:sz w:val="20"/>
              </w:rPr>
            </w:pPr>
            <w:r>
              <w:rPr>
                <w:sz w:val="20"/>
              </w:rPr>
              <w:t>Date</w:t>
            </w:r>
          </w:p>
        </w:tc>
        <w:tc>
          <w:tcPr>
            <w:tcW w:w="7375" w:type="dxa"/>
          </w:tcPr>
          <w:p w14:paraId="076AECB0" w14:textId="77777777" w:rsidR="00752E97" w:rsidRDefault="00752E97" w:rsidP="00D86FE3">
            <w:pPr>
              <w:spacing w:after="60"/>
              <w:rPr>
                <w:sz w:val="20"/>
              </w:rPr>
            </w:pPr>
          </w:p>
        </w:tc>
      </w:tr>
      <w:tr w:rsidR="00D86FE3" w14:paraId="6501F323" w14:textId="77777777" w:rsidTr="00752E97">
        <w:trPr>
          <w:trHeight w:val="800"/>
        </w:trPr>
        <w:tc>
          <w:tcPr>
            <w:tcW w:w="2695" w:type="dxa"/>
            <w:vAlign w:val="center"/>
          </w:tcPr>
          <w:p w14:paraId="684F674B" w14:textId="4FF2AB77" w:rsidR="00D86FE3" w:rsidRDefault="00D86FE3" w:rsidP="00752E97">
            <w:pPr>
              <w:spacing w:after="0"/>
              <w:rPr>
                <w:sz w:val="20"/>
              </w:rPr>
            </w:pPr>
            <w:r>
              <w:rPr>
                <w:sz w:val="20"/>
              </w:rPr>
              <w:t>Procurement Officer Signature</w:t>
            </w:r>
          </w:p>
        </w:tc>
        <w:tc>
          <w:tcPr>
            <w:tcW w:w="7375" w:type="dxa"/>
          </w:tcPr>
          <w:p w14:paraId="493A84B5" w14:textId="77777777" w:rsidR="00D86FE3" w:rsidRDefault="00D86FE3" w:rsidP="00D86FE3">
            <w:pPr>
              <w:spacing w:after="60"/>
              <w:rPr>
                <w:sz w:val="20"/>
              </w:rPr>
            </w:pPr>
          </w:p>
        </w:tc>
      </w:tr>
      <w:tr w:rsidR="00752E97" w14:paraId="2A446FFF" w14:textId="77777777" w:rsidTr="00752E97">
        <w:trPr>
          <w:trHeight w:val="60"/>
        </w:trPr>
        <w:tc>
          <w:tcPr>
            <w:tcW w:w="2695" w:type="dxa"/>
            <w:vAlign w:val="center"/>
          </w:tcPr>
          <w:p w14:paraId="7C3244C6" w14:textId="77291D08" w:rsidR="00752E97" w:rsidRDefault="00752E97" w:rsidP="00752E97">
            <w:pPr>
              <w:spacing w:after="0"/>
              <w:rPr>
                <w:sz w:val="20"/>
              </w:rPr>
            </w:pPr>
            <w:r>
              <w:rPr>
                <w:sz w:val="20"/>
              </w:rPr>
              <w:t>Date</w:t>
            </w:r>
          </w:p>
        </w:tc>
        <w:tc>
          <w:tcPr>
            <w:tcW w:w="7375" w:type="dxa"/>
          </w:tcPr>
          <w:p w14:paraId="2F855CC3" w14:textId="77777777" w:rsidR="00752E97" w:rsidRDefault="00752E97" w:rsidP="00D86FE3">
            <w:pPr>
              <w:spacing w:after="60"/>
              <w:rPr>
                <w:sz w:val="20"/>
              </w:rPr>
            </w:pPr>
          </w:p>
        </w:tc>
      </w:tr>
    </w:tbl>
    <w:p w14:paraId="6D7F719D" w14:textId="1F5C3290" w:rsidR="00D86FE3" w:rsidRDefault="00D86FE3" w:rsidP="00D86FE3">
      <w:pPr>
        <w:spacing w:after="60"/>
        <w:rPr>
          <w:sz w:val="20"/>
        </w:rPr>
      </w:pPr>
    </w:p>
    <w:p w14:paraId="2F0C898B" w14:textId="70BD8215" w:rsidR="00D86FE3" w:rsidRPr="0030107B" w:rsidRDefault="003D6116" w:rsidP="003D6116">
      <w:pPr>
        <w:keepNext/>
        <w:rPr>
          <w:b/>
          <w:bCs/>
          <w:caps/>
          <w:sz w:val="24"/>
          <w:szCs w:val="24"/>
        </w:rPr>
      </w:pPr>
      <w:r w:rsidRPr="0030107B">
        <w:rPr>
          <w:b/>
          <w:bCs/>
          <w:caps/>
          <w:sz w:val="24"/>
          <w:szCs w:val="24"/>
        </w:rPr>
        <w:lastRenderedPageBreak/>
        <w:t>CTS Procurement Approval</w:t>
      </w:r>
      <w:r w:rsidR="0045580E" w:rsidRPr="0030107B">
        <w:rPr>
          <w:b/>
          <w:bCs/>
          <w:caps/>
          <w:sz w:val="24"/>
          <w:szCs w:val="24"/>
        </w:rPr>
        <w:t xml:space="preserve"> ($10,000 and over)</w:t>
      </w:r>
    </w:p>
    <w:p w14:paraId="25EF3625" w14:textId="31B6C7C4" w:rsidR="003D6116" w:rsidRDefault="0045580E" w:rsidP="000559B6">
      <w:pPr>
        <w:tabs>
          <w:tab w:val="left" w:pos="990"/>
          <w:tab w:val="left" w:pos="1710"/>
          <w:tab w:val="left" w:pos="2520"/>
          <w:tab w:val="left" w:pos="6300"/>
          <w:tab w:val="left" w:pos="6750"/>
        </w:tabs>
        <w:rPr>
          <w:sz w:val="20"/>
        </w:rPr>
      </w:pPr>
      <w:r>
        <w:rPr>
          <w:sz w:val="20"/>
        </w:rPr>
        <w:t>Approved:</w:t>
      </w:r>
      <w:r>
        <w:rPr>
          <w:sz w:val="20"/>
        </w:rPr>
        <w:tab/>
      </w:r>
      <w:sdt>
        <w:sdtPr>
          <w:rPr>
            <w:sz w:val="20"/>
          </w:rPr>
          <w:id w:val="21066132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32956146">
        <w:rPr>
          <w:b/>
          <w:sz w:val="20"/>
        </w:rPr>
        <w:t>Yes</w:t>
      </w:r>
      <w:r>
        <w:rPr>
          <w:sz w:val="20"/>
        </w:rPr>
        <w:tab/>
      </w:r>
      <w:sdt>
        <w:sdtPr>
          <w:rPr>
            <w:sz w:val="20"/>
          </w:rPr>
          <w:id w:val="-57296275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32956146">
        <w:rPr>
          <w:b/>
          <w:sz w:val="20"/>
        </w:rPr>
        <w:t>No</w:t>
      </w:r>
      <w:r>
        <w:rPr>
          <w:sz w:val="20"/>
        </w:rPr>
        <w:tab/>
        <w:t>Renegotiation Option Approv</w:t>
      </w:r>
      <w:r w:rsidR="003D6116">
        <w:rPr>
          <w:sz w:val="20"/>
        </w:rPr>
        <w:t>ed</w:t>
      </w:r>
      <w:r w:rsidR="000559B6">
        <w:rPr>
          <w:sz w:val="20"/>
        </w:rPr>
        <w:t>:</w:t>
      </w:r>
      <w:r w:rsidR="003D6116">
        <w:rPr>
          <w:sz w:val="20"/>
        </w:rPr>
        <w:t xml:space="preserve">  </w:t>
      </w:r>
      <w:sdt>
        <w:sdtPr>
          <w:rPr>
            <w:sz w:val="20"/>
          </w:rPr>
          <w:id w:val="189585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32956146">
        <w:rPr>
          <w:b/>
          <w:sz w:val="20"/>
        </w:rPr>
        <w:t>Yes</w:t>
      </w:r>
      <w:r>
        <w:rPr>
          <w:sz w:val="20"/>
        </w:rPr>
        <w:t xml:space="preserve"> </w:t>
      </w:r>
      <w:sdt>
        <w:sdtPr>
          <w:rPr>
            <w:sz w:val="20"/>
          </w:rPr>
          <w:id w:val="-20270885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Pr="32956146">
        <w:rPr>
          <w:b/>
          <w:sz w:val="20"/>
        </w:rPr>
        <w:t>No</w:t>
      </w:r>
      <w:r w:rsidR="000B0514">
        <w:rPr>
          <w:sz w:val="20"/>
        </w:rPr>
        <w:t xml:space="preserve"> </w:t>
      </w:r>
      <w:r w:rsidR="000559B6">
        <w:rPr>
          <w:sz w:val="20"/>
        </w:rPr>
        <w:tab/>
        <w:t xml:space="preserve">Expiration Date: </w:t>
      </w:r>
      <w:r w:rsidR="0030107B" w:rsidRPr="0030107B">
        <w:rPr>
          <w:rStyle w:val="IntenseReference"/>
        </w:rPr>
        <w:t>insert date</w:t>
      </w:r>
    </w:p>
    <w:p w14:paraId="26ADF86F" w14:textId="77777777" w:rsidR="0045580E" w:rsidRPr="00CF251D" w:rsidRDefault="0045580E" w:rsidP="0045580E">
      <w:pPr>
        <w:spacing w:before="120" w:after="0"/>
        <w:rPr>
          <w:b/>
          <w:bCs/>
          <w:caps/>
          <w:sz w:val="20"/>
        </w:rPr>
      </w:pPr>
      <w:r w:rsidRPr="00CF251D">
        <w:rPr>
          <w:b/>
          <w:bCs/>
          <w:caps/>
          <w:sz w:val="20"/>
        </w:rPr>
        <w:t>Authority for Limited or Non-competitive Procurement</w:t>
      </w:r>
    </w:p>
    <w:p w14:paraId="7B20778A" w14:textId="77777777" w:rsidR="0045580E" w:rsidRPr="00251CC5" w:rsidRDefault="0045580E" w:rsidP="0045580E">
      <w:pPr>
        <w:ind w:left="274" w:hanging="274"/>
        <w:rPr>
          <w:sz w:val="20"/>
        </w:rPr>
      </w:pPr>
      <w:r w:rsidRPr="00251CC5">
        <w:rPr>
          <w:sz w:val="20"/>
        </w:rPr>
        <w:t xml:space="preserve">Competition can be limited under the following </w:t>
      </w:r>
      <w:r>
        <w:rPr>
          <w:sz w:val="20"/>
        </w:rPr>
        <w:t>NDUS Procedure</w:t>
      </w:r>
      <w:r w:rsidRPr="00251CC5">
        <w:rPr>
          <w:sz w:val="20"/>
        </w:rPr>
        <w:t xml:space="preserve"> provisions. Check the appropriate authority reference.</w:t>
      </w:r>
    </w:p>
    <w:p w14:paraId="2796D255" w14:textId="254D17A3" w:rsidR="0045580E" w:rsidRPr="00251CC5" w:rsidRDefault="00950886" w:rsidP="0045580E">
      <w:pPr>
        <w:spacing w:after="60"/>
        <w:ind w:left="270" w:hanging="270"/>
        <w:rPr>
          <w:sz w:val="20"/>
        </w:rPr>
      </w:pPr>
      <w:sdt>
        <w:sdtPr>
          <w:rPr>
            <w:sz w:val="20"/>
          </w:rPr>
          <w:id w:val="935169387"/>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The commodity or service is available from only one source. [N.D.C.C. § 54-44.4-05 (</w:t>
      </w:r>
      <w:r w:rsidR="00947D25">
        <w:rPr>
          <w:sz w:val="20"/>
        </w:rPr>
        <w:t>4</w:t>
      </w:r>
      <w:r w:rsidR="0045580E" w:rsidRPr="00251CC5">
        <w:rPr>
          <w:sz w:val="20"/>
        </w:rPr>
        <w:t>)(a)]</w:t>
      </w:r>
    </w:p>
    <w:p w14:paraId="600FE19E" w14:textId="59B78683" w:rsidR="0045580E" w:rsidRPr="00251CC5" w:rsidRDefault="00950886" w:rsidP="0045580E">
      <w:pPr>
        <w:spacing w:after="60"/>
        <w:ind w:left="270" w:hanging="270"/>
        <w:rPr>
          <w:sz w:val="20"/>
        </w:rPr>
      </w:pPr>
      <w:sdt>
        <w:sdtPr>
          <w:rPr>
            <w:sz w:val="20"/>
          </w:rPr>
          <w:id w:val="-176812994"/>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The commodity or service is for experimentation or trial. [N.D.C.C. § 54-44.4-05 (</w:t>
      </w:r>
      <w:r w:rsidR="00947D25">
        <w:rPr>
          <w:sz w:val="20"/>
        </w:rPr>
        <w:t>4</w:t>
      </w:r>
      <w:r w:rsidR="0045580E" w:rsidRPr="00251CC5">
        <w:rPr>
          <w:sz w:val="20"/>
        </w:rPr>
        <w:t>)(b)]</w:t>
      </w:r>
    </w:p>
    <w:p w14:paraId="5C4F42F6" w14:textId="315790F4" w:rsidR="0045580E" w:rsidRPr="00251CC5" w:rsidRDefault="00950886" w:rsidP="0045580E">
      <w:pPr>
        <w:spacing w:after="60"/>
        <w:ind w:left="270" w:hanging="270"/>
        <w:rPr>
          <w:sz w:val="20"/>
        </w:rPr>
      </w:pPr>
      <w:sdt>
        <w:sdtPr>
          <w:rPr>
            <w:sz w:val="20"/>
          </w:rPr>
          <w:id w:val="1975629144"/>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No acceptable bid or proposal was received pursuant to a competitive bidding or proposal process.</w:t>
      </w:r>
      <w:r w:rsidR="0045580E">
        <w:rPr>
          <w:sz w:val="20"/>
        </w:rPr>
        <w:t xml:space="preserve"> </w:t>
      </w:r>
      <w:r w:rsidR="0045580E" w:rsidRPr="00251CC5">
        <w:rPr>
          <w:sz w:val="20"/>
        </w:rPr>
        <w:t>[N.D.C.C. § 54-44.4-05 (</w:t>
      </w:r>
      <w:r w:rsidR="00947D25">
        <w:rPr>
          <w:sz w:val="20"/>
        </w:rPr>
        <w:t>4</w:t>
      </w:r>
      <w:r w:rsidR="0045580E" w:rsidRPr="00251CC5">
        <w:rPr>
          <w:sz w:val="20"/>
        </w:rPr>
        <w:t>)(c)]</w:t>
      </w:r>
    </w:p>
    <w:bookmarkStart w:id="5" w:name="_Hlk140231816"/>
    <w:p w14:paraId="576FA1BA" w14:textId="2288ED42" w:rsidR="0030107B" w:rsidRDefault="00950886" w:rsidP="0030107B">
      <w:pPr>
        <w:spacing w:after="60"/>
        <w:ind w:left="270" w:hanging="270"/>
        <w:rPr>
          <w:sz w:val="20"/>
        </w:rPr>
      </w:pPr>
      <w:sdt>
        <w:sdtPr>
          <w:rPr>
            <w:sz w:val="20"/>
          </w:rPr>
          <w:id w:val="-756134859"/>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Commodities are being purchased for over-the-counter resale. [N.D.C.C. § 54-44.4-05 (</w:t>
      </w:r>
      <w:r w:rsidR="00947D25">
        <w:rPr>
          <w:sz w:val="20"/>
        </w:rPr>
        <w:t>4</w:t>
      </w:r>
      <w:r w:rsidR="0045580E" w:rsidRPr="00251CC5">
        <w:rPr>
          <w:sz w:val="20"/>
        </w:rPr>
        <w:t>)(d)]</w:t>
      </w:r>
    </w:p>
    <w:bookmarkEnd w:id="5"/>
    <w:p w14:paraId="5620CDD3" w14:textId="2235C19B" w:rsidR="00947D25" w:rsidRDefault="00947D25" w:rsidP="0030107B">
      <w:pPr>
        <w:spacing w:after="60"/>
        <w:ind w:left="270" w:hanging="270"/>
        <w:rPr>
          <w:sz w:val="20"/>
        </w:rPr>
      </w:pPr>
      <w:r w:rsidRPr="00947D25">
        <w:rPr>
          <w:rFonts w:ascii="Segoe UI Symbol" w:hAnsi="Segoe UI Symbol" w:cs="Segoe UI Symbol"/>
          <w:sz w:val="20"/>
        </w:rPr>
        <w:t>☐</w:t>
      </w:r>
      <w:r w:rsidRPr="00947D25">
        <w:rPr>
          <w:sz w:val="20"/>
        </w:rPr>
        <w:t xml:space="preserve"> Acceptable commodities or services are produced or provided by correctional institutions or other government agencies or a work activity center as defined in section 25-16.2-01. [N.D.C.C. § 54-44.4-05 (4)(</w:t>
      </w:r>
      <w:r>
        <w:rPr>
          <w:sz w:val="20"/>
        </w:rPr>
        <w:t>e</w:t>
      </w:r>
      <w:r w:rsidRPr="00947D25">
        <w:rPr>
          <w:sz w:val="20"/>
        </w:rPr>
        <w:t>)]</w:t>
      </w:r>
    </w:p>
    <w:p w14:paraId="37B30BAA" w14:textId="0C771201" w:rsidR="00947D25" w:rsidRPr="00251CC5" w:rsidRDefault="00947D25" w:rsidP="0030107B">
      <w:pPr>
        <w:spacing w:after="60"/>
        <w:ind w:left="270" w:hanging="270"/>
        <w:rPr>
          <w:sz w:val="20"/>
        </w:rPr>
      </w:pPr>
      <w:r w:rsidRPr="00947D25">
        <w:rPr>
          <w:rFonts w:ascii="Segoe UI Symbol" w:hAnsi="Segoe UI Symbol" w:cs="Segoe UI Symbol"/>
          <w:sz w:val="20"/>
        </w:rPr>
        <w:t>☐</w:t>
      </w:r>
      <w:r w:rsidRPr="00947D25">
        <w:rPr>
          <w:sz w:val="20"/>
        </w:rPr>
        <w:t xml:space="preserve"> The anticipated cost of purchasing specified commodities or services is less than an amount determined by the office of management and budget which would justify the expense of a competitive bidding or competitive proposal process. [N.D.C.C. § 54-44.4-05 (4)(</w:t>
      </w:r>
      <w:r>
        <w:rPr>
          <w:sz w:val="20"/>
        </w:rPr>
        <w:t>f</w:t>
      </w:r>
      <w:r w:rsidRPr="00947D25">
        <w:rPr>
          <w:sz w:val="20"/>
        </w:rPr>
        <w:t>)]</w:t>
      </w:r>
    </w:p>
    <w:p w14:paraId="1D4821A1" w14:textId="77817904" w:rsidR="0045580E" w:rsidRPr="00251CC5" w:rsidRDefault="00950886" w:rsidP="0045580E">
      <w:pPr>
        <w:spacing w:after="60"/>
        <w:ind w:left="270" w:hanging="270"/>
        <w:rPr>
          <w:sz w:val="20"/>
        </w:rPr>
      </w:pPr>
      <w:sdt>
        <w:sdtPr>
          <w:rPr>
            <w:sz w:val="20"/>
          </w:rPr>
          <w:id w:val="458532991"/>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A used commodity is advantageous to the state and the commodity is available on short notice. [N.D.C.C. § 54-44.4-05 (</w:t>
      </w:r>
      <w:r w:rsidR="00947D25">
        <w:rPr>
          <w:sz w:val="20"/>
        </w:rPr>
        <w:t>4</w:t>
      </w:r>
      <w:r w:rsidR="0045580E" w:rsidRPr="00251CC5">
        <w:rPr>
          <w:sz w:val="20"/>
        </w:rPr>
        <w:t>)(g)]</w:t>
      </w:r>
    </w:p>
    <w:p w14:paraId="733EE557" w14:textId="2328F30B" w:rsidR="0045580E" w:rsidRPr="00251CC5" w:rsidRDefault="00950886" w:rsidP="0045580E">
      <w:pPr>
        <w:spacing w:after="60"/>
        <w:ind w:left="270" w:hanging="270"/>
        <w:rPr>
          <w:sz w:val="20"/>
        </w:rPr>
      </w:pPr>
      <w:sdt>
        <w:sdtPr>
          <w:rPr>
            <w:sz w:val="20"/>
          </w:rPr>
          <w:id w:val="1468400025"/>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The commodity is a component or replacement part for which there is not commercially available substitute</w:t>
      </w:r>
      <w:r w:rsidR="70E4B944" w:rsidRPr="794A7791">
        <w:rPr>
          <w:sz w:val="20"/>
        </w:rPr>
        <w:t>,</w:t>
      </w:r>
      <w:r w:rsidR="0045580E" w:rsidRPr="00251CC5">
        <w:rPr>
          <w:sz w:val="20"/>
        </w:rPr>
        <w:t xml:space="preserve"> and which can be</w:t>
      </w:r>
      <w:r w:rsidR="0045580E">
        <w:rPr>
          <w:sz w:val="20"/>
        </w:rPr>
        <w:t xml:space="preserve"> </w:t>
      </w:r>
      <w:r w:rsidR="0045580E" w:rsidRPr="00251CC5">
        <w:rPr>
          <w:sz w:val="20"/>
        </w:rPr>
        <w:t>obtained only from the manufacturer. [N.D.C.C. § 54-44.4-05 (</w:t>
      </w:r>
      <w:r w:rsidR="00947D25">
        <w:rPr>
          <w:sz w:val="20"/>
        </w:rPr>
        <w:t>4</w:t>
      </w:r>
      <w:r w:rsidR="0045580E" w:rsidRPr="00251CC5">
        <w:rPr>
          <w:sz w:val="20"/>
        </w:rPr>
        <w:t>)(h)]</w:t>
      </w:r>
    </w:p>
    <w:p w14:paraId="4EF1423A" w14:textId="35DC5F53" w:rsidR="0045580E" w:rsidRPr="00251CC5" w:rsidRDefault="00950886" w:rsidP="0045580E">
      <w:pPr>
        <w:spacing w:after="60"/>
        <w:ind w:left="270" w:hanging="270"/>
        <w:rPr>
          <w:sz w:val="20"/>
        </w:rPr>
      </w:pPr>
      <w:sdt>
        <w:sdtPr>
          <w:rPr>
            <w:sz w:val="20"/>
          </w:rPr>
          <w:id w:val="185329164"/>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Compatibility with equipment currently owned by the state is essential to the proper functioning of that equipment.</w:t>
      </w:r>
      <w:r w:rsidR="0045580E">
        <w:rPr>
          <w:sz w:val="20"/>
        </w:rPr>
        <w:t xml:space="preserve"> </w:t>
      </w:r>
      <w:r w:rsidR="0045580E" w:rsidRPr="00251CC5">
        <w:rPr>
          <w:sz w:val="20"/>
        </w:rPr>
        <w:t>[N.D.C.C. § 54-44.4-05 (</w:t>
      </w:r>
      <w:r w:rsidR="00947D25">
        <w:rPr>
          <w:sz w:val="20"/>
        </w:rPr>
        <w:t>4</w:t>
      </w:r>
      <w:r w:rsidR="0045580E" w:rsidRPr="00251CC5">
        <w:rPr>
          <w:sz w:val="20"/>
        </w:rPr>
        <w:t>)(i)]</w:t>
      </w:r>
    </w:p>
    <w:p w14:paraId="18867C38" w14:textId="1219F5AC" w:rsidR="0045580E" w:rsidRDefault="00950886" w:rsidP="0045580E">
      <w:pPr>
        <w:spacing w:after="60"/>
        <w:ind w:left="270" w:hanging="270"/>
        <w:rPr>
          <w:sz w:val="20"/>
        </w:rPr>
      </w:pPr>
      <w:sdt>
        <w:sdtPr>
          <w:rPr>
            <w:sz w:val="20"/>
          </w:rPr>
          <w:id w:val="1638609500"/>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The services or the circumstances are of such a nature that deviation from the procurement process is appropriate.</w:t>
      </w:r>
      <w:r w:rsidR="0045580E">
        <w:rPr>
          <w:sz w:val="20"/>
        </w:rPr>
        <w:t xml:space="preserve"> </w:t>
      </w:r>
      <w:r w:rsidR="0045580E" w:rsidRPr="00251CC5">
        <w:rPr>
          <w:sz w:val="20"/>
        </w:rPr>
        <w:t>[N.D.C.C. § 54-44.4-05 (</w:t>
      </w:r>
      <w:r w:rsidR="00947D25">
        <w:rPr>
          <w:sz w:val="20"/>
        </w:rPr>
        <w:t>4</w:t>
      </w:r>
      <w:r w:rsidR="0045580E" w:rsidRPr="00251CC5">
        <w:rPr>
          <w:sz w:val="20"/>
        </w:rPr>
        <w:t>)(j)]</w:t>
      </w:r>
    </w:p>
    <w:bookmarkStart w:id="6" w:name="_Hlk140232419"/>
    <w:bookmarkStart w:id="7" w:name="_Hlk140232184"/>
    <w:p w14:paraId="20FCF601" w14:textId="2FF21779" w:rsidR="00A26854" w:rsidRDefault="00950886" w:rsidP="00A26854">
      <w:pPr>
        <w:spacing w:after="60"/>
        <w:ind w:left="270" w:hanging="270"/>
        <w:rPr>
          <w:sz w:val="20"/>
        </w:rPr>
      </w:pPr>
      <w:sdt>
        <w:sdtPr>
          <w:rPr>
            <w:sz w:val="20"/>
          </w:rPr>
          <w:id w:val="-498191619"/>
          <w14:checkbox>
            <w14:checked w14:val="0"/>
            <w14:checkedState w14:val="2612" w14:font="MS Gothic"/>
            <w14:uncheckedState w14:val="2610" w14:font="MS Gothic"/>
          </w14:checkbox>
        </w:sdtPr>
        <w:sdtEndPr/>
        <w:sdtContent>
          <w:r w:rsidR="0030107B">
            <w:rPr>
              <w:rFonts w:ascii="MS Gothic" w:eastAsia="MS Gothic" w:hAnsi="MS Gothic" w:hint="eastAsia"/>
              <w:sz w:val="20"/>
            </w:rPr>
            <w:t>☐</w:t>
          </w:r>
        </w:sdtContent>
      </w:sdt>
      <w:r w:rsidR="0030107B">
        <w:rPr>
          <w:sz w:val="20"/>
        </w:rPr>
        <w:t xml:space="preserve"> </w:t>
      </w:r>
      <w:bookmarkStart w:id="8" w:name="_Hlk140232172"/>
      <w:r w:rsidR="0030107B">
        <w:rPr>
          <w:sz w:val="20"/>
        </w:rPr>
        <w:t>R</w:t>
      </w:r>
      <w:r w:rsidR="0030107B" w:rsidRPr="0030107B">
        <w:rPr>
          <w:sz w:val="20"/>
        </w:rPr>
        <w:t>ecurring support costs associated with implemented information technology solutions, including licensing, service agreements, maintenance, and subscriptions for software as a service, platform as a service, and infrastructure as a service. [N.D.C.C. § 54-44.4-05 (4)(k)]</w:t>
      </w:r>
      <w:bookmarkEnd w:id="8"/>
      <w:bookmarkEnd w:id="6"/>
    </w:p>
    <w:p w14:paraId="18871122" w14:textId="67381EF2" w:rsidR="005F0943" w:rsidRDefault="005F0943" w:rsidP="005F0943">
      <w:pPr>
        <w:spacing w:after="60"/>
        <w:ind w:left="270" w:hanging="270"/>
        <w:rPr>
          <w:sz w:val="20"/>
        </w:rPr>
      </w:pPr>
      <w:sdt>
        <w:sdtPr>
          <w:rPr>
            <w:sz w:val="20"/>
          </w:rPr>
          <w:id w:val="193894985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w:t>
      </w:r>
      <w:r w:rsidR="00B45DE0">
        <w:rPr>
          <w:sz w:val="20"/>
        </w:rPr>
        <w:t>C</w:t>
      </w:r>
      <w:r w:rsidR="00B45DE0" w:rsidRPr="00B45DE0">
        <w:rPr>
          <w:sz w:val="20"/>
        </w:rPr>
        <w:t>ontracts for specialized equipment, machinery, and materials required for manufacturing, production, and distribution by North Dakota mill and elevator association under section 54-18-02. [N.D.C.C. § 54-44.4-05 (4)(l)]</w:t>
      </w:r>
    </w:p>
    <w:bookmarkEnd w:id="7"/>
    <w:p w14:paraId="7A583F51" w14:textId="6A3A5566" w:rsidR="0045580E" w:rsidRPr="00251CC5" w:rsidRDefault="00950886" w:rsidP="0045580E">
      <w:pPr>
        <w:spacing w:after="60"/>
        <w:ind w:left="270" w:hanging="270"/>
        <w:rPr>
          <w:sz w:val="20"/>
        </w:rPr>
      </w:pPr>
      <w:sdt>
        <w:sdtPr>
          <w:rPr>
            <w:sz w:val="20"/>
          </w:rPr>
          <w:id w:val="-823814911"/>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 xml:space="preserve">Products or services exclusive to </w:t>
      </w:r>
      <w:bookmarkStart w:id="9" w:name="_Int_edLfWkg0"/>
      <w:proofErr w:type="gramStart"/>
      <w:r w:rsidR="0045580E" w:rsidRPr="00251CC5">
        <w:rPr>
          <w:sz w:val="20"/>
        </w:rPr>
        <w:t>particular individuals</w:t>
      </w:r>
      <w:bookmarkEnd w:id="9"/>
      <w:proofErr w:type="gramEnd"/>
      <w:r w:rsidR="0045580E" w:rsidRPr="00251CC5">
        <w:rPr>
          <w:sz w:val="20"/>
        </w:rPr>
        <w:t xml:space="preserve"> or business entities are required, but competition for that proprietary product</w:t>
      </w:r>
      <w:r w:rsidR="0045580E">
        <w:rPr>
          <w:sz w:val="20"/>
        </w:rPr>
        <w:t xml:space="preserve"> </w:t>
      </w:r>
      <w:r w:rsidR="0045580E" w:rsidRPr="00251CC5">
        <w:rPr>
          <w:sz w:val="20"/>
        </w:rPr>
        <w:t xml:space="preserve">exists. </w:t>
      </w:r>
      <w:r w:rsidR="00A26854" w:rsidRPr="794A7791">
        <w:rPr>
          <w:sz w:val="18"/>
          <w:szCs w:val="18"/>
        </w:rPr>
        <w:t>[N.D.A.C. § 4-12-09-02 (1)(a)]</w:t>
      </w:r>
    </w:p>
    <w:p w14:paraId="2681F180" w14:textId="4E306B40" w:rsidR="0045580E" w:rsidRPr="00251CC5" w:rsidRDefault="00950886" w:rsidP="0045580E">
      <w:pPr>
        <w:spacing w:after="60"/>
        <w:ind w:left="270" w:hanging="270"/>
        <w:rPr>
          <w:sz w:val="20"/>
        </w:rPr>
      </w:pPr>
      <w:sdt>
        <w:sdtPr>
          <w:rPr>
            <w:sz w:val="20"/>
          </w:rPr>
          <w:id w:val="-842008590"/>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Circumstances require that commodities or services be provided by vendors within a specific geographic area, such as equipment</w:t>
      </w:r>
      <w:r w:rsidR="0045580E">
        <w:rPr>
          <w:sz w:val="20"/>
        </w:rPr>
        <w:t xml:space="preserve"> </w:t>
      </w:r>
      <w:r w:rsidR="0045580E" w:rsidRPr="00251CC5">
        <w:rPr>
          <w:sz w:val="20"/>
        </w:rPr>
        <w:t>requiring local service, on-site service within a specific time, or delivery of ready</w:t>
      </w:r>
      <w:r w:rsidR="56C20D3E" w:rsidRPr="794A7791">
        <w:rPr>
          <w:sz w:val="20"/>
        </w:rPr>
        <w:t>-</w:t>
      </w:r>
      <w:r w:rsidR="0045580E" w:rsidRPr="00251CC5">
        <w:rPr>
          <w:sz w:val="20"/>
        </w:rPr>
        <w:t>mix concrete.</w:t>
      </w:r>
      <w:r w:rsidR="00A26854">
        <w:rPr>
          <w:sz w:val="20"/>
        </w:rPr>
        <w:t xml:space="preserve"> </w:t>
      </w:r>
      <w:r w:rsidR="0045580E" w:rsidRPr="00251CC5">
        <w:rPr>
          <w:sz w:val="20"/>
        </w:rPr>
        <w:t xml:space="preserve"> </w:t>
      </w:r>
      <w:r w:rsidR="00A26854" w:rsidRPr="00A26854">
        <w:rPr>
          <w:sz w:val="20"/>
        </w:rPr>
        <w:t>[N.D.A.C. § 4-12-09-02 (1)(b)]</w:t>
      </w:r>
    </w:p>
    <w:p w14:paraId="621A84B4" w14:textId="2974E4DB" w:rsidR="0045580E" w:rsidRDefault="00950886" w:rsidP="0045580E">
      <w:pPr>
        <w:spacing w:after="60"/>
        <w:ind w:left="270" w:hanging="270"/>
        <w:rPr>
          <w:sz w:val="20"/>
        </w:rPr>
      </w:pPr>
      <w:sdt>
        <w:sdtPr>
          <w:rPr>
            <w:sz w:val="20"/>
          </w:rPr>
          <w:id w:val="659121264"/>
          <w14:checkbox>
            <w14:checked w14:val="0"/>
            <w14:checkedState w14:val="2612" w14:font="MS Gothic"/>
            <w14:uncheckedState w14:val="2610" w14:font="MS Gothic"/>
          </w14:checkbox>
        </w:sdtPr>
        <w:sdtEndPr/>
        <w:sdtContent>
          <w:r w:rsidR="0045580E">
            <w:rPr>
              <w:rFonts w:ascii="MS Gothic" w:eastAsia="MS Gothic" w:hAnsi="MS Gothic" w:hint="eastAsia"/>
              <w:sz w:val="20"/>
            </w:rPr>
            <w:t>☐</w:t>
          </w:r>
        </w:sdtContent>
      </w:sdt>
      <w:r w:rsidR="0045580E">
        <w:rPr>
          <w:sz w:val="20"/>
        </w:rPr>
        <w:t xml:space="preserve"> </w:t>
      </w:r>
      <w:r w:rsidR="0045580E" w:rsidRPr="00251CC5">
        <w:rPr>
          <w:sz w:val="20"/>
        </w:rPr>
        <w:t>It is determined that a competitive sealed bid or competitive sealed process is impracticable or not in the best interest of the state.</w:t>
      </w:r>
      <w:r w:rsidR="00A26854">
        <w:rPr>
          <w:sz w:val="20"/>
        </w:rPr>
        <w:t xml:space="preserve"> </w:t>
      </w:r>
      <w:r w:rsidR="00A26854" w:rsidRPr="00A26854">
        <w:rPr>
          <w:sz w:val="20"/>
        </w:rPr>
        <w:t>[N.D.A.C. § 4-12-09-02 (1)(c)]</w:t>
      </w:r>
    </w:p>
    <w:p w14:paraId="6685532D" w14:textId="4FA0B3F6" w:rsidR="007E3802" w:rsidRPr="00251CC5" w:rsidRDefault="00470F43" w:rsidP="0045580E">
      <w:pPr>
        <w:spacing w:after="60"/>
        <w:ind w:left="270" w:hanging="270"/>
        <w:rPr>
          <w:sz w:val="20"/>
        </w:rPr>
      </w:pPr>
      <w:r w:rsidRPr="00470F43">
        <w:rPr>
          <w:rFonts w:ascii="Segoe UI Symbol" w:hAnsi="Segoe UI Symbol" w:cs="Segoe UI Symbol"/>
          <w:sz w:val="20"/>
        </w:rPr>
        <w:t>☐</w:t>
      </w:r>
      <w:r w:rsidRPr="00470F43">
        <w:rPr>
          <w:sz w:val="20"/>
        </w:rPr>
        <w:t xml:space="preserve"> </w:t>
      </w:r>
      <w:r w:rsidR="00442745">
        <w:rPr>
          <w:sz w:val="20"/>
        </w:rPr>
        <w:t xml:space="preserve">The </w:t>
      </w:r>
      <w:r w:rsidR="00442745" w:rsidRPr="00442745">
        <w:rPr>
          <w:sz w:val="20"/>
        </w:rPr>
        <w:t>commodity or service is available from another government entity's contract. [N.D.C.C. § 54-44.4-13].</w:t>
      </w:r>
    </w:p>
    <w:p w14:paraId="0FE8987B" w14:textId="0F7DAB7D" w:rsidR="00EE23DC" w:rsidRDefault="00E0760B" w:rsidP="00D86FE3">
      <w:pPr>
        <w:spacing w:after="60"/>
        <w:rPr>
          <w:sz w:val="20"/>
        </w:rPr>
      </w:pPr>
      <w:r w:rsidRPr="00E0760B">
        <w:rPr>
          <w:sz w:val="20"/>
        </w:rPr>
        <w:t>NOTE: Attach a copy of the contract</w:t>
      </w:r>
      <w:r w:rsidR="00E0728A">
        <w:rPr>
          <w:sz w:val="20"/>
        </w:rPr>
        <w:t xml:space="preserve"> for NDUS review</w:t>
      </w:r>
      <w:r w:rsidRPr="00E0760B">
        <w:rPr>
          <w:sz w:val="20"/>
        </w:rPr>
        <w:t xml:space="preserve">.  </w:t>
      </w:r>
    </w:p>
    <w:p w14:paraId="3C392ABB" w14:textId="61C2F973" w:rsidR="00FB0391" w:rsidRDefault="00752E97" w:rsidP="00D86FE3">
      <w:pPr>
        <w:spacing w:after="60"/>
        <w:rPr>
          <w:sz w:val="20"/>
        </w:rPr>
      </w:pPr>
      <w:r>
        <w:rPr>
          <w:sz w:val="20"/>
        </w:rPr>
        <w:t>Comments:</w:t>
      </w:r>
    </w:p>
    <w:tbl>
      <w:tblPr>
        <w:tblStyle w:val="TableGrid"/>
        <w:tblW w:w="0" w:type="auto"/>
        <w:tblLook w:val="04A0" w:firstRow="1" w:lastRow="0" w:firstColumn="1" w:lastColumn="0" w:noHBand="0" w:noVBand="1"/>
      </w:tblPr>
      <w:tblGrid>
        <w:gridCol w:w="10070"/>
      </w:tblGrid>
      <w:tr w:rsidR="00752E97" w14:paraId="786F1CB8" w14:textId="77777777" w:rsidTr="00752E97">
        <w:trPr>
          <w:trHeight w:val="2528"/>
        </w:trPr>
        <w:tc>
          <w:tcPr>
            <w:tcW w:w="10070" w:type="dxa"/>
          </w:tcPr>
          <w:p w14:paraId="3A736825" w14:textId="77777777" w:rsidR="00752E97" w:rsidRDefault="00752E97" w:rsidP="00D86FE3">
            <w:pPr>
              <w:spacing w:after="60"/>
              <w:rPr>
                <w:sz w:val="20"/>
              </w:rPr>
            </w:pPr>
          </w:p>
        </w:tc>
      </w:tr>
    </w:tbl>
    <w:p w14:paraId="6D492E67" w14:textId="77777777" w:rsidR="00752E97" w:rsidRDefault="00752E97" w:rsidP="00D86FE3">
      <w:pPr>
        <w:spacing w:after="60"/>
        <w:rPr>
          <w:sz w:val="20"/>
        </w:rPr>
      </w:pPr>
    </w:p>
    <w:tbl>
      <w:tblPr>
        <w:tblStyle w:val="TableGrid"/>
        <w:tblW w:w="0" w:type="auto"/>
        <w:tblLook w:val="04A0" w:firstRow="1" w:lastRow="0" w:firstColumn="1" w:lastColumn="0" w:noHBand="0" w:noVBand="1"/>
      </w:tblPr>
      <w:tblGrid>
        <w:gridCol w:w="2335"/>
        <w:gridCol w:w="7735"/>
      </w:tblGrid>
      <w:tr w:rsidR="00752E97" w14:paraId="073DBFD8" w14:textId="77777777" w:rsidTr="00752E97">
        <w:tc>
          <w:tcPr>
            <w:tcW w:w="2335" w:type="dxa"/>
            <w:vAlign w:val="center"/>
          </w:tcPr>
          <w:p w14:paraId="6249A47C" w14:textId="5FD02FEB" w:rsidR="00752E97" w:rsidRDefault="00752E97" w:rsidP="00752E97">
            <w:pPr>
              <w:spacing w:after="0"/>
              <w:rPr>
                <w:sz w:val="20"/>
              </w:rPr>
            </w:pPr>
            <w:r>
              <w:rPr>
                <w:sz w:val="20"/>
              </w:rPr>
              <w:t>Approving Official Name</w:t>
            </w:r>
          </w:p>
        </w:tc>
        <w:tc>
          <w:tcPr>
            <w:tcW w:w="7735" w:type="dxa"/>
          </w:tcPr>
          <w:p w14:paraId="3E380C54" w14:textId="77777777" w:rsidR="00752E97" w:rsidRDefault="00752E97" w:rsidP="00D86FE3">
            <w:pPr>
              <w:spacing w:after="60"/>
              <w:rPr>
                <w:sz w:val="20"/>
              </w:rPr>
            </w:pPr>
          </w:p>
        </w:tc>
      </w:tr>
      <w:tr w:rsidR="00752E97" w14:paraId="4E41FF84" w14:textId="77777777" w:rsidTr="00752E97">
        <w:tc>
          <w:tcPr>
            <w:tcW w:w="2335" w:type="dxa"/>
            <w:vAlign w:val="center"/>
          </w:tcPr>
          <w:p w14:paraId="66F58653" w14:textId="65B4C7B5" w:rsidR="00752E97" w:rsidRDefault="00752E97" w:rsidP="00752E97">
            <w:pPr>
              <w:spacing w:after="0"/>
              <w:rPr>
                <w:sz w:val="20"/>
              </w:rPr>
            </w:pPr>
            <w:r>
              <w:rPr>
                <w:sz w:val="20"/>
              </w:rPr>
              <w:t>Title</w:t>
            </w:r>
          </w:p>
        </w:tc>
        <w:tc>
          <w:tcPr>
            <w:tcW w:w="7735" w:type="dxa"/>
          </w:tcPr>
          <w:p w14:paraId="742F1B94" w14:textId="77777777" w:rsidR="00752E97" w:rsidRDefault="00752E97" w:rsidP="00D86FE3">
            <w:pPr>
              <w:spacing w:after="60"/>
              <w:rPr>
                <w:sz w:val="20"/>
              </w:rPr>
            </w:pPr>
          </w:p>
        </w:tc>
      </w:tr>
      <w:tr w:rsidR="00752E97" w14:paraId="1BCE04A0" w14:textId="77777777" w:rsidTr="00752E97">
        <w:trPr>
          <w:trHeight w:val="719"/>
        </w:trPr>
        <w:tc>
          <w:tcPr>
            <w:tcW w:w="2335" w:type="dxa"/>
            <w:vAlign w:val="center"/>
          </w:tcPr>
          <w:p w14:paraId="50A487EA" w14:textId="7DC4CB0F" w:rsidR="00752E97" w:rsidRDefault="00752E97" w:rsidP="00752E97">
            <w:pPr>
              <w:spacing w:after="0"/>
              <w:rPr>
                <w:sz w:val="20"/>
              </w:rPr>
            </w:pPr>
            <w:r>
              <w:rPr>
                <w:sz w:val="20"/>
              </w:rPr>
              <w:t>Signature</w:t>
            </w:r>
          </w:p>
        </w:tc>
        <w:tc>
          <w:tcPr>
            <w:tcW w:w="7735" w:type="dxa"/>
          </w:tcPr>
          <w:p w14:paraId="52FF00C9" w14:textId="77777777" w:rsidR="00752E97" w:rsidRDefault="00752E97" w:rsidP="00D86FE3">
            <w:pPr>
              <w:spacing w:after="60"/>
              <w:rPr>
                <w:sz w:val="20"/>
              </w:rPr>
            </w:pPr>
          </w:p>
        </w:tc>
      </w:tr>
      <w:tr w:rsidR="00752E97" w14:paraId="201321B2" w14:textId="77777777" w:rsidTr="00752E97">
        <w:tc>
          <w:tcPr>
            <w:tcW w:w="2335" w:type="dxa"/>
            <w:vAlign w:val="center"/>
          </w:tcPr>
          <w:p w14:paraId="0A8C26E8" w14:textId="41ECA7AF" w:rsidR="00752E97" w:rsidRDefault="00752E97" w:rsidP="00752E97">
            <w:pPr>
              <w:spacing w:after="0"/>
              <w:rPr>
                <w:sz w:val="20"/>
              </w:rPr>
            </w:pPr>
            <w:r>
              <w:rPr>
                <w:sz w:val="20"/>
              </w:rPr>
              <w:t>Date</w:t>
            </w:r>
          </w:p>
        </w:tc>
        <w:tc>
          <w:tcPr>
            <w:tcW w:w="7735" w:type="dxa"/>
          </w:tcPr>
          <w:p w14:paraId="3DBD3E7D" w14:textId="77777777" w:rsidR="00752E97" w:rsidRDefault="00752E97" w:rsidP="00D86FE3">
            <w:pPr>
              <w:spacing w:after="60"/>
              <w:rPr>
                <w:sz w:val="20"/>
              </w:rPr>
            </w:pPr>
          </w:p>
        </w:tc>
      </w:tr>
    </w:tbl>
    <w:p w14:paraId="70B7D83F" w14:textId="3571B18A" w:rsidR="00FB0391" w:rsidRPr="00251CC5" w:rsidRDefault="00FB0391" w:rsidP="00D86FE3">
      <w:pPr>
        <w:spacing w:after="60"/>
        <w:rPr>
          <w:sz w:val="20"/>
        </w:rPr>
      </w:pPr>
      <w:r>
        <w:rPr>
          <w:sz w:val="20"/>
        </w:rPr>
        <w:tab/>
      </w:r>
    </w:p>
    <w:sectPr w:rsidR="00FB0391" w:rsidRPr="00251CC5" w:rsidSect="00752E97">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4BE8" w14:textId="77777777" w:rsidR="00AC7DA9" w:rsidRDefault="00AC7DA9" w:rsidP="00B67BAD">
      <w:pPr>
        <w:spacing w:after="0"/>
      </w:pPr>
      <w:r>
        <w:separator/>
      </w:r>
    </w:p>
  </w:endnote>
  <w:endnote w:type="continuationSeparator" w:id="0">
    <w:p w14:paraId="7D12DEE9" w14:textId="77777777" w:rsidR="00AC7DA9" w:rsidRDefault="00AC7DA9" w:rsidP="00B67BAD">
      <w:pPr>
        <w:spacing w:after="0"/>
      </w:pPr>
      <w:r>
        <w:continuationSeparator/>
      </w:r>
    </w:p>
  </w:endnote>
  <w:endnote w:type="continuationNotice" w:id="1">
    <w:p w14:paraId="5DC5329B" w14:textId="77777777" w:rsidR="00687703" w:rsidRDefault="006877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4"/>
      </w:rPr>
      <w:id w:val="1593275234"/>
      <w:docPartObj>
        <w:docPartGallery w:val="Page Numbers (Bottom of Page)"/>
        <w:docPartUnique/>
      </w:docPartObj>
    </w:sdtPr>
    <w:sdtEndPr/>
    <w:sdtContent>
      <w:sdt>
        <w:sdtPr>
          <w:rPr>
            <w:sz w:val="16"/>
            <w:szCs w:val="14"/>
          </w:rPr>
          <w:id w:val="-1705238520"/>
          <w:docPartObj>
            <w:docPartGallery w:val="Page Numbers (Top of Page)"/>
            <w:docPartUnique/>
          </w:docPartObj>
        </w:sdtPr>
        <w:sdtEndPr/>
        <w:sdtContent>
          <w:p w14:paraId="5F4D1EF5" w14:textId="0C8F658C" w:rsidR="00752E97" w:rsidRPr="00752E97" w:rsidRDefault="00752E97">
            <w:pPr>
              <w:pStyle w:val="Footer"/>
              <w:rPr>
                <w:sz w:val="16"/>
                <w:szCs w:val="14"/>
              </w:rPr>
            </w:pPr>
            <w:r w:rsidRPr="00752E97">
              <w:rPr>
                <w:sz w:val="16"/>
                <w:szCs w:val="14"/>
              </w:rPr>
              <w:t xml:space="preserve">Page </w:t>
            </w:r>
            <w:r w:rsidRPr="00752E97">
              <w:rPr>
                <w:b/>
                <w:bCs/>
                <w:sz w:val="18"/>
                <w:szCs w:val="18"/>
              </w:rPr>
              <w:fldChar w:fldCharType="begin"/>
            </w:r>
            <w:r w:rsidRPr="00752E97">
              <w:rPr>
                <w:b/>
                <w:bCs/>
                <w:sz w:val="16"/>
                <w:szCs w:val="14"/>
              </w:rPr>
              <w:instrText xml:space="preserve"> PAGE </w:instrText>
            </w:r>
            <w:r w:rsidRPr="00752E97">
              <w:rPr>
                <w:b/>
                <w:bCs/>
                <w:sz w:val="18"/>
                <w:szCs w:val="18"/>
              </w:rPr>
              <w:fldChar w:fldCharType="separate"/>
            </w:r>
            <w:r w:rsidRPr="00752E97">
              <w:rPr>
                <w:b/>
                <w:bCs/>
                <w:noProof/>
                <w:sz w:val="16"/>
                <w:szCs w:val="14"/>
              </w:rPr>
              <w:t>2</w:t>
            </w:r>
            <w:r w:rsidRPr="00752E97">
              <w:rPr>
                <w:b/>
                <w:bCs/>
                <w:sz w:val="18"/>
                <w:szCs w:val="18"/>
              </w:rPr>
              <w:fldChar w:fldCharType="end"/>
            </w:r>
            <w:r w:rsidRPr="00752E97">
              <w:rPr>
                <w:sz w:val="16"/>
                <w:szCs w:val="14"/>
              </w:rPr>
              <w:t xml:space="preserve"> of </w:t>
            </w:r>
            <w:r w:rsidRPr="00752E97">
              <w:rPr>
                <w:b/>
                <w:bCs/>
                <w:sz w:val="18"/>
                <w:szCs w:val="18"/>
              </w:rPr>
              <w:fldChar w:fldCharType="begin"/>
            </w:r>
            <w:r w:rsidRPr="00752E97">
              <w:rPr>
                <w:b/>
                <w:bCs/>
                <w:sz w:val="16"/>
                <w:szCs w:val="14"/>
              </w:rPr>
              <w:instrText xml:space="preserve"> NUMPAGES  </w:instrText>
            </w:r>
            <w:r w:rsidRPr="00752E97">
              <w:rPr>
                <w:b/>
                <w:bCs/>
                <w:sz w:val="18"/>
                <w:szCs w:val="18"/>
              </w:rPr>
              <w:fldChar w:fldCharType="separate"/>
            </w:r>
            <w:r w:rsidRPr="00752E97">
              <w:rPr>
                <w:b/>
                <w:bCs/>
                <w:noProof/>
                <w:sz w:val="16"/>
                <w:szCs w:val="14"/>
              </w:rPr>
              <w:t>2</w:t>
            </w:r>
            <w:r w:rsidRPr="00752E9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6F4D" w14:textId="77777777" w:rsidR="00AC7DA9" w:rsidRDefault="00AC7DA9" w:rsidP="00B67BAD">
      <w:pPr>
        <w:spacing w:after="0"/>
      </w:pPr>
      <w:r>
        <w:separator/>
      </w:r>
    </w:p>
  </w:footnote>
  <w:footnote w:type="continuationSeparator" w:id="0">
    <w:p w14:paraId="6EDC5651" w14:textId="77777777" w:rsidR="00AC7DA9" w:rsidRDefault="00AC7DA9" w:rsidP="00B67BAD">
      <w:pPr>
        <w:spacing w:after="0"/>
      </w:pPr>
      <w:r>
        <w:continuationSeparator/>
      </w:r>
    </w:p>
  </w:footnote>
  <w:footnote w:type="continuationNotice" w:id="1">
    <w:p w14:paraId="0E6C3572" w14:textId="77777777" w:rsidR="00687703" w:rsidRDefault="006877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A9AA" w14:textId="23C3BABC" w:rsidR="00B67BAD" w:rsidRPr="00B67BAD" w:rsidRDefault="00B67BAD" w:rsidP="00B67BAD">
    <w:pPr>
      <w:pStyle w:val="Header"/>
      <w:tabs>
        <w:tab w:val="clear" w:pos="4680"/>
        <w:tab w:val="clear" w:pos="9360"/>
        <w:tab w:val="center" w:pos="5040"/>
        <w:tab w:val="right" w:pos="10080"/>
      </w:tabs>
      <w:rPr>
        <w:b/>
        <w:bCs/>
      </w:rPr>
    </w:pPr>
    <w:r>
      <w:rPr>
        <w:b/>
        <w:bCs/>
        <w:sz w:val="28"/>
        <w:szCs w:val="24"/>
      </w:rPr>
      <w:tab/>
    </w:r>
    <w:r w:rsidRPr="00B67BAD">
      <w:rPr>
        <w:b/>
        <w:bCs/>
        <w:sz w:val="28"/>
        <w:szCs w:val="24"/>
      </w:rPr>
      <w:t>ALTERNATE PROCUREMENT REQUEST</w:t>
    </w:r>
    <w:r>
      <w:rPr>
        <w:b/>
        <w:bCs/>
        <w:sz w:val="28"/>
        <w:szCs w:val="24"/>
      </w:rPr>
      <w:tab/>
    </w:r>
    <w:r w:rsidRPr="00B67BAD">
      <w:rPr>
        <w:sz w:val="16"/>
        <w:szCs w:val="16"/>
      </w:rPr>
      <w:t xml:space="preserve">Updated: </w:t>
    </w:r>
    <w:r w:rsidR="00F70001">
      <w:rPr>
        <w:sz w:val="16"/>
        <w:szCs w:val="16"/>
      </w:rPr>
      <w:t>July 2023</w:t>
    </w:r>
  </w:p>
  <w:p w14:paraId="24701D49" w14:textId="4B8E8E92" w:rsidR="00B67BAD" w:rsidRDefault="00B67BAD" w:rsidP="00B67BAD">
    <w:pPr>
      <w:pStyle w:val="Header"/>
      <w:tabs>
        <w:tab w:val="clear" w:pos="4680"/>
        <w:tab w:val="center" w:pos="5040"/>
      </w:tabs>
      <w:spacing w:after="360"/>
    </w:pPr>
    <w:r w:rsidRPr="00B67BAD">
      <w:rPr>
        <w:b/>
        <w:bCs/>
        <w:noProof/>
        <w:sz w:val="28"/>
        <w:szCs w:val="24"/>
      </w:rPr>
      <w:drawing>
        <wp:anchor distT="0" distB="0" distL="114300" distR="114300" simplePos="0" relativeHeight="251658240" behindDoc="1" locked="0" layoutInCell="1" allowOverlap="0" wp14:anchorId="187EA57C" wp14:editId="33142714">
          <wp:simplePos x="0" y="0"/>
          <wp:positionH relativeFrom="page">
            <wp:posOffset>361950</wp:posOffset>
          </wp:positionH>
          <wp:positionV relativeFrom="paragraph">
            <wp:posOffset>-340995</wp:posOffset>
          </wp:positionV>
          <wp:extent cx="1170305" cy="557530"/>
          <wp:effectExtent l="0" t="0" r="0" b="0"/>
          <wp:wrapTight wrapText="right">
            <wp:wrapPolygon edited="0">
              <wp:start x="0" y="0"/>
              <wp:lineTo x="0" y="20665"/>
              <wp:lineTo x="21096" y="20665"/>
              <wp:lineTo x="21096"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305" cy="557530"/>
                  </a:xfrm>
                  <a:prstGeom prst="rect">
                    <a:avLst/>
                  </a:prstGeom>
                </pic:spPr>
              </pic:pic>
            </a:graphicData>
          </a:graphic>
          <wp14:sizeRelH relativeFrom="margin">
            <wp14:pctWidth>0</wp14:pctWidth>
          </wp14:sizeRelH>
          <wp14:sizeRelV relativeFrom="margin">
            <wp14:pctHeight>0</wp14:pctHeight>
          </wp14:sizeRelV>
        </wp:anchor>
      </w:drawing>
    </w:r>
    <w:r>
      <w:tab/>
    </w:r>
    <w:r w:rsidRPr="00B67BAD">
      <w:rPr>
        <w:sz w:val="24"/>
        <w:szCs w:val="22"/>
      </w:rPr>
      <w:t>North Dakota University System</w:t>
    </w:r>
  </w:p>
</w:hdr>
</file>

<file path=word/intelligence2.xml><?xml version="1.0" encoding="utf-8"?>
<int2:intelligence xmlns:int2="http://schemas.microsoft.com/office/intelligence/2020/intelligence" xmlns:oel="http://schemas.microsoft.com/office/2019/extlst">
  <int2:observations>
    <int2:textHash int2:hashCode="Mq2mHEO3nUaQfU" int2:id="4dCmnI93">
      <int2:state int2:value="Rejected" int2:type="AugLoop_Text_Critique"/>
    </int2:textHash>
    <int2:textHash int2:hashCode="7zJO210hsOPCfH" int2:id="BDSmlddm">
      <int2:state int2:value="Rejected" int2:type="AugLoop_Text_Critique"/>
    </int2:textHash>
    <int2:textHash int2:hashCode="tiSxc0B2YPWnOR" int2:id="JBMULbdK">
      <int2:state int2:value="Rejected" int2:type="AugLoop_Text_Critique"/>
    </int2:textHash>
    <int2:textHash int2:hashCode="qRunKnUDwouyTB" int2:id="NMpWvKd6">
      <int2:state int2:value="Rejected" int2:type="AugLoop_Text_Critique"/>
    </int2:textHash>
    <int2:textHash int2:hashCode="5x3vr5iOeIlf1s" int2:id="elJyZkwL">
      <int2:state int2:value="Rejected" int2:type="AugLoop_Text_Critique"/>
    </int2:textHash>
    <int2:textHash int2:hashCode="majZJ6xwk21ZmW" int2:id="mAmYu7eD">
      <int2:state int2:value="Rejected" int2:type="AugLoop_Text_Critique"/>
    </int2:textHash>
    <int2:bookmark int2:bookmarkName="_Int_jjgtPZc9" int2:invalidationBookmarkName="" int2:hashCode="PP+Hh7LqQ7YUGl" int2:id="OokEiexh">
      <int2:state int2:value="Rejected" int2:type="AugLoop_Text_Critique"/>
    </int2:bookmark>
    <int2:bookmark int2:bookmarkName="_Int_edLfWkg0" int2:invalidationBookmarkName="" int2:hashCode="f36rnE6vLVg6h4" int2:id="YDMfB3YQ">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AD"/>
    <w:rsid w:val="00016268"/>
    <w:rsid w:val="000559B6"/>
    <w:rsid w:val="000B0514"/>
    <w:rsid w:val="000D7B9C"/>
    <w:rsid w:val="000F2B60"/>
    <w:rsid w:val="00151BF5"/>
    <w:rsid w:val="0015461F"/>
    <w:rsid w:val="00164DE9"/>
    <w:rsid w:val="002034D9"/>
    <w:rsid w:val="002169E4"/>
    <w:rsid w:val="00251CC5"/>
    <w:rsid w:val="00253DCE"/>
    <w:rsid w:val="002B723C"/>
    <w:rsid w:val="002D08FF"/>
    <w:rsid w:val="002E7922"/>
    <w:rsid w:val="0030107B"/>
    <w:rsid w:val="003D6116"/>
    <w:rsid w:val="00407B85"/>
    <w:rsid w:val="00442745"/>
    <w:rsid w:val="0044645A"/>
    <w:rsid w:val="0045580E"/>
    <w:rsid w:val="00470F43"/>
    <w:rsid w:val="004A39E6"/>
    <w:rsid w:val="004C7696"/>
    <w:rsid w:val="004F072C"/>
    <w:rsid w:val="00534C7A"/>
    <w:rsid w:val="00587712"/>
    <w:rsid w:val="005A661D"/>
    <w:rsid w:val="005C09FD"/>
    <w:rsid w:val="005F0943"/>
    <w:rsid w:val="005F57AE"/>
    <w:rsid w:val="006430E2"/>
    <w:rsid w:val="00665A50"/>
    <w:rsid w:val="0066771A"/>
    <w:rsid w:val="00687703"/>
    <w:rsid w:val="00691A8D"/>
    <w:rsid w:val="006D09C6"/>
    <w:rsid w:val="006D188C"/>
    <w:rsid w:val="00700A7C"/>
    <w:rsid w:val="00710B67"/>
    <w:rsid w:val="007149C8"/>
    <w:rsid w:val="00732A58"/>
    <w:rsid w:val="007365FA"/>
    <w:rsid w:val="007402EB"/>
    <w:rsid w:val="00752E97"/>
    <w:rsid w:val="00755EA8"/>
    <w:rsid w:val="0076159D"/>
    <w:rsid w:val="007875E5"/>
    <w:rsid w:val="00796D99"/>
    <w:rsid w:val="007E3802"/>
    <w:rsid w:val="008830DA"/>
    <w:rsid w:val="00883F02"/>
    <w:rsid w:val="00932B96"/>
    <w:rsid w:val="0093445F"/>
    <w:rsid w:val="00941967"/>
    <w:rsid w:val="00947D25"/>
    <w:rsid w:val="00950886"/>
    <w:rsid w:val="00A055E3"/>
    <w:rsid w:val="00A109D1"/>
    <w:rsid w:val="00A26854"/>
    <w:rsid w:val="00A47CED"/>
    <w:rsid w:val="00AC7DA9"/>
    <w:rsid w:val="00B17874"/>
    <w:rsid w:val="00B33110"/>
    <w:rsid w:val="00B45DE0"/>
    <w:rsid w:val="00B67BAD"/>
    <w:rsid w:val="00B71DFB"/>
    <w:rsid w:val="00B76C7E"/>
    <w:rsid w:val="00B82D59"/>
    <w:rsid w:val="00B878F6"/>
    <w:rsid w:val="00BE538E"/>
    <w:rsid w:val="00C11251"/>
    <w:rsid w:val="00C24EF4"/>
    <w:rsid w:val="00C6403E"/>
    <w:rsid w:val="00CF20DA"/>
    <w:rsid w:val="00CF251D"/>
    <w:rsid w:val="00D80886"/>
    <w:rsid w:val="00D86FE3"/>
    <w:rsid w:val="00E0728A"/>
    <w:rsid w:val="00E0760B"/>
    <w:rsid w:val="00E36E99"/>
    <w:rsid w:val="00E41201"/>
    <w:rsid w:val="00E50F6C"/>
    <w:rsid w:val="00E72AAC"/>
    <w:rsid w:val="00E764EC"/>
    <w:rsid w:val="00E9061F"/>
    <w:rsid w:val="00ED5D3E"/>
    <w:rsid w:val="00EE23DC"/>
    <w:rsid w:val="00EE411B"/>
    <w:rsid w:val="00F036E7"/>
    <w:rsid w:val="00F64228"/>
    <w:rsid w:val="00F70001"/>
    <w:rsid w:val="00F724E8"/>
    <w:rsid w:val="00F74FAA"/>
    <w:rsid w:val="00F91708"/>
    <w:rsid w:val="00FA1502"/>
    <w:rsid w:val="00FA398B"/>
    <w:rsid w:val="00FB0391"/>
    <w:rsid w:val="1B6AC51E"/>
    <w:rsid w:val="32956146"/>
    <w:rsid w:val="436878CA"/>
    <w:rsid w:val="56C20D3E"/>
    <w:rsid w:val="56F4DD09"/>
    <w:rsid w:val="5E6C4C65"/>
    <w:rsid w:val="5F3D8C7E"/>
    <w:rsid w:val="662ACB6A"/>
    <w:rsid w:val="70E4B944"/>
    <w:rsid w:val="738080F4"/>
    <w:rsid w:val="74E8584C"/>
    <w:rsid w:val="7903ED0B"/>
    <w:rsid w:val="794A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A42E6E"/>
  <w15:chartTrackingRefBased/>
  <w15:docId w15:val="{140DBBB0-9B37-4ED9-906D-90A93F8D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28"/>
    <w:pPr>
      <w:spacing w:after="120" w:line="240" w:lineRule="auto"/>
    </w:pPr>
    <w:rPr>
      <w:rFonts w:cs="Times New Roman"/>
      <w:szCs w:val="20"/>
    </w:rPr>
  </w:style>
  <w:style w:type="paragraph" w:styleId="Heading2">
    <w:name w:val="heading 2"/>
    <w:basedOn w:val="Normal"/>
    <w:next w:val="Normal"/>
    <w:link w:val="Heading2Char"/>
    <w:uiPriority w:val="9"/>
    <w:unhideWhenUsed/>
    <w:qFormat/>
    <w:rsid w:val="00F91708"/>
    <w:pPr>
      <w:keepNext/>
      <w:keepLines/>
      <w:ind w:left="36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1708"/>
    <w:rPr>
      <w:rFonts w:asciiTheme="majorHAnsi" w:eastAsiaTheme="majorEastAsia" w:hAnsiTheme="majorHAnsi" w:cstheme="majorBidi"/>
      <w:b/>
      <w:sz w:val="24"/>
      <w:szCs w:val="26"/>
    </w:rPr>
  </w:style>
  <w:style w:type="paragraph" w:styleId="Header">
    <w:name w:val="header"/>
    <w:basedOn w:val="Normal"/>
    <w:link w:val="HeaderChar"/>
    <w:uiPriority w:val="99"/>
    <w:unhideWhenUsed/>
    <w:rsid w:val="00B67BAD"/>
    <w:pPr>
      <w:tabs>
        <w:tab w:val="center" w:pos="4680"/>
        <w:tab w:val="right" w:pos="9360"/>
      </w:tabs>
      <w:spacing w:after="0"/>
    </w:pPr>
  </w:style>
  <w:style w:type="character" w:customStyle="1" w:styleId="HeaderChar">
    <w:name w:val="Header Char"/>
    <w:basedOn w:val="DefaultParagraphFont"/>
    <w:link w:val="Header"/>
    <w:uiPriority w:val="99"/>
    <w:rsid w:val="00B67BAD"/>
    <w:rPr>
      <w:rFonts w:cs="Times New Roman"/>
      <w:szCs w:val="20"/>
    </w:rPr>
  </w:style>
  <w:style w:type="paragraph" w:styleId="Footer">
    <w:name w:val="footer"/>
    <w:basedOn w:val="Normal"/>
    <w:link w:val="FooterChar"/>
    <w:uiPriority w:val="99"/>
    <w:unhideWhenUsed/>
    <w:rsid w:val="00B67BAD"/>
    <w:pPr>
      <w:tabs>
        <w:tab w:val="center" w:pos="4680"/>
        <w:tab w:val="right" w:pos="9360"/>
      </w:tabs>
      <w:spacing w:after="0"/>
    </w:pPr>
  </w:style>
  <w:style w:type="character" w:customStyle="1" w:styleId="FooterChar">
    <w:name w:val="Footer Char"/>
    <w:basedOn w:val="DefaultParagraphFont"/>
    <w:link w:val="Footer"/>
    <w:uiPriority w:val="99"/>
    <w:rsid w:val="00B67BAD"/>
    <w:rPr>
      <w:rFonts w:cs="Times New Roman"/>
      <w:szCs w:val="20"/>
    </w:rPr>
  </w:style>
  <w:style w:type="character" w:styleId="Hyperlink">
    <w:name w:val="Hyperlink"/>
    <w:basedOn w:val="DefaultParagraphFont"/>
    <w:uiPriority w:val="99"/>
    <w:unhideWhenUsed/>
    <w:rsid w:val="00A109D1"/>
    <w:rPr>
      <w:color w:val="0563C1" w:themeColor="hyperlink"/>
      <w:u w:val="single"/>
    </w:rPr>
  </w:style>
  <w:style w:type="character" w:styleId="UnresolvedMention">
    <w:name w:val="Unresolved Mention"/>
    <w:basedOn w:val="DefaultParagraphFont"/>
    <w:uiPriority w:val="99"/>
    <w:semiHidden/>
    <w:unhideWhenUsed/>
    <w:rsid w:val="00A109D1"/>
    <w:rPr>
      <w:color w:val="605E5C"/>
      <w:shd w:val="clear" w:color="auto" w:fill="E1DFDD"/>
    </w:rPr>
  </w:style>
  <w:style w:type="character" w:styleId="CommentReference">
    <w:name w:val="annotation reference"/>
    <w:basedOn w:val="DefaultParagraphFont"/>
    <w:uiPriority w:val="99"/>
    <w:semiHidden/>
    <w:unhideWhenUsed/>
    <w:rsid w:val="00A109D1"/>
    <w:rPr>
      <w:sz w:val="16"/>
      <w:szCs w:val="16"/>
    </w:rPr>
  </w:style>
  <w:style w:type="paragraph" w:styleId="CommentText">
    <w:name w:val="annotation text"/>
    <w:basedOn w:val="Normal"/>
    <w:link w:val="CommentTextChar"/>
    <w:uiPriority w:val="99"/>
    <w:semiHidden/>
    <w:unhideWhenUsed/>
    <w:rsid w:val="00A109D1"/>
    <w:rPr>
      <w:sz w:val="20"/>
    </w:rPr>
  </w:style>
  <w:style w:type="character" w:customStyle="1" w:styleId="CommentTextChar">
    <w:name w:val="Comment Text Char"/>
    <w:basedOn w:val="DefaultParagraphFont"/>
    <w:link w:val="CommentText"/>
    <w:uiPriority w:val="99"/>
    <w:semiHidden/>
    <w:rsid w:val="00A109D1"/>
    <w:rPr>
      <w:rFonts w:cs="Times New Roman"/>
      <w:sz w:val="20"/>
      <w:szCs w:val="20"/>
    </w:rPr>
  </w:style>
  <w:style w:type="paragraph" w:styleId="CommentSubject">
    <w:name w:val="annotation subject"/>
    <w:basedOn w:val="CommentText"/>
    <w:next w:val="CommentText"/>
    <w:link w:val="CommentSubjectChar"/>
    <w:uiPriority w:val="99"/>
    <w:semiHidden/>
    <w:unhideWhenUsed/>
    <w:rsid w:val="00A109D1"/>
    <w:rPr>
      <w:b/>
      <w:bCs/>
    </w:rPr>
  </w:style>
  <w:style w:type="character" w:customStyle="1" w:styleId="CommentSubjectChar">
    <w:name w:val="Comment Subject Char"/>
    <w:basedOn w:val="CommentTextChar"/>
    <w:link w:val="CommentSubject"/>
    <w:uiPriority w:val="99"/>
    <w:semiHidden/>
    <w:rsid w:val="00A109D1"/>
    <w:rPr>
      <w:rFonts w:cs="Times New Roman"/>
      <w:b/>
      <w:bCs/>
      <w:sz w:val="20"/>
      <w:szCs w:val="20"/>
    </w:rPr>
  </w:style>
  <w:style w:type="table" w:styleId="TableGrid">
    <w:name w:val="Table Grid"/>
    <w:basedOn w:val="TableNormal"/>
    <w:uiPriority w:val="39"/>
    <w:rsid w:val="00761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712"/>
    <w:rPr>
      <w:color w:val="808080"/>
    </w:rPr>
  </w:style>
  <w:style w:type="character" w:styleId="FollowedHyperlink">
    <w:name w:val="FollowedHyperlink"/>
    <w:basedOn w:val="DefaultParagraphFont"/>
    <w:uiPriority w:val="99"/>
    <w:semiHidden/>
    <w:unhideWhenUsed/>
    <w:rsid w:val="00EE411B"/>
    <w:rPr>
      <w:color w:val="954F72" w:themeColor="followedHyperlink"/>
      <w:u w:val="single"/>
    </w:rPr>
  </w:style>
  <w:style w:type="paragraph" w:styleId="NormalWeb">
    <w:name w:val="Normal (Web)"/>
    <w:basedOn w:val="Normal"/>
    <w:uiPriority w:val="99"/>
    <w:semiHidden/>
    <w:unhideWhenUsed/>
    <w:rsid w:val="00710B67"/>
    <w:pPr>
      <w:spacing w:before="100" w:beforeAutospacing="1" w:after="100" w:afterAutospacing="1"/>
    </w:pPr>
    <w:rPr>
      <w:rFonts w:ascii="Times New Roman" w:eastAsia="Times New Roman" w:hAnsi="Times New Roman"/>
      <w:sz w:val="24"/>
      <w:szCs w:val="24"/>
    </w:rPr>
  </w:style>
  <w:style w:type="character" w:styleId="IntenseReference">
    <w:name w:val="Intense Reference"/>
    <w:basedOn w:val="DefaultParagraphFont"/>
    <w:uiPriority w:val="32"/>
    <w:qFormat/>
    <w:rsid w:val="0030107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35">
      <w:bodyDiv w:val="1"/>
      <w:marLeft w:val="0"/>
      <w:marRight w:val="0"/>
      <w:marTop w:val="0"/>
      <w:marBottom w:val="0"/>
      <w:divBdr>
        <w:top w:val="none" w:sz="0" w:space="0" w:color="auto"/>
        <w:left w:val="none" w:sz="0" w:space="0" w:color="auto"/>
        <w:bottom w:val="none" w:sz="0" w:space="0" w:color="auto"/>
        <w:right w:val="none" w:sz="0" w:space="0" w:color="auto"/>
      </w:divBdr>
    </w:div>
    <w:div w:id="996886359">
      <w:bodyDiv w:val="1"/>
      <w:marLeft w:val="0"/>
      <w:marRight w:val="0"/>
      <w:marTop w:val="0"/>
      <w:marBottom w:val="0"/>
      <w:divBdr>
        <w:top w:val="none" w:sz="0" w:space="0" w:color="auto"/>
        <w:left w:val="none" w:sz="0" w:space="0" w:color="auto"/>
        <w:bottom w:val="none" w:sz="0" w:space="0" w:color="auto"/>
        <w:right w:val="none" w:sz="0" w:space="0" w:color="auto"/>
      </w:divBdr>
    </w:div>
    <w:div w:id="1863783709">
      <w:bodyDiv w:val="1"/>
      <w:marLeft w:val="0"/>
      <w:marRight w:val="0"/>
      <w:marTop w:val="0"/>
      <w:marBottom w:val="0"/>
      <w:divBdr>
        <w:top w:val="none" w:sz="0" w:space="0" w:color="auto"/>
        <w:left w:val="none" w:sz="0" w:space="0" w:color="auto"/>
        <w:bottom w:val="none" w:sz="0" w:space="0" w:color="auto"/>
        <w:right w:val="none" w:sz="0" w:space="0" w:color="auto"/>
      </w:divBdr>
    </w:div>
    <w:div w:id="18822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nd.gov/cencode/t54c44-4.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nd.gov/cencode/t54c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dusbpos.sharepoint.com/:w:/s/NDUSPoliciesandProcedures/EZ2y-nwyNtBGu9Vi3v3OlkwB5dBlNagpvaF9t7BmQSOFQQ"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ndusbpos.sharepoint.com/sites/NDUS_CTS_P3M/SitePages/Procurement-Management.asp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egis.nd.gov/information/acdata/pdf/4-12-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91439E15FE45488D01A33529ABF4DB"/>
        <w:category>
          <w:name w:val="General"/>
          <w:gallery w:val="placeholder"/>
        </w:category>
        <w:types>
          <w:type w:val="bbPlcHdr"/>
        </w:types>
        <w:behaviors>
          <w:behavior w:val="content"/>
        </w:behaviors>
        <w:guid w:val="{3D6D4CE5-987F-4EB7-8130-7D423B66DF16}"/>
      </w:docPartPr>
      <w:docPartBody>
        <w:p w:rsidR="003C431F" w:rsidRDefault="00842E21" w:rsidP="00842E21">
          <w:pPr>
            <w:pStyle w:val="B091439E15FE45488D01A33529ABF4DB"/>
          </w:pPr>
          <w:r w:rsidRPr="00FB4D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5F"/>
    <w:rsid w:val="002C6F92"/>
    <w:rsid w:val="00386D57"/>
    <w:rsid w:val="003C431F"/>
    <w:rsid w:val="004F74A8"/>
    <w:rsid w:val="0051376E"/>
    <w:rsid w:val="00842E21"/>
    <w:rsid w:val="00AA071C"/>
    <w:rsid w:val="00B3075F"/>
    <w:rsid w:val="00D5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71C"/>
    <w:rPr>
      <w:color w:val="808080"/>
    </w:rPr>
  </w:style>
  <w:style w:type="paragraph" w:customStyle="1" w:styleId="B091439E15FE45488D01A33529ABF4DB">
    <w:name w:val="B091439E15FE45488D01A33529ABF4DB"/>
    <w:rsid w:val="00842E21"/>
    <w:pPr>
      <w:spacing w:after="120" w:line="240" w:lineRule="auto"/>
    </w:pPr>
    <w:rPr>
      <w:rFonts w:eastAsia="Times"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BFE663F32A4445A48E977275D66CD9" ma:contentTypeVersion="14" ma:contentTypeDescription="Create a new document." ma:contentTypeScope="" ma:versionID="f4aab95bf1672ea7d84c06eead645e59">
  <xsd:schema xmlns:xsd="http://www.w3.org/2001/XMLSchema" xmlns:xs="http://www.w3.org/2001/XMLSchema" xmlns:p="http://schemas.microsoft.com/office/2006/metadata/properties" xmlns:ns2="d4fb967b-7f6b-4b83-817a-a2ca65454847" xmlns:ns3="be617998-72d0-48d7-94bc-be108b95ee10" targetNamespace="http://schemas.microsoft.com/office/2006/metadata/properties" ma:root="true" ma:fieldsID="a41b66f97668d42d005e8f37d3ce6ed6" ns2:_="" ns3:_="">
    <xsd:import namespace="d4fb967b-7f6b-4b83-817a-a2ca65454847"/>
    <xsd:import namespace="be617998-72d0-48d7-94bc-be108b95ee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b967b-7f6b-4b83-817a-a2ca65454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286ec34-a2ae-4ac6-b6b4-0b3167cce8d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17998-72d0-48d7-94bc-be108b95ee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d5b76e-af5e-4e9c-a48a-a8440e4a5e2b}" ma:internalName="TaxCatchAll" ma:showField="CatchAllData" ma:web="be617998-72d0-48d7-94bc-be108b95e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617998-72d0-48d7-94bc-be108b95ee10" xsi:nil="true"/>
    <lcf76f155ced4ddcb4097134ff3c332f xmlns="d4fb967b-7f6b-4b83-817a-a2ca654548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27BABA-7509-4F83-80B3-2F365D2D2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b967b-7f6b-4b83-817a-a2ca65454847"/>
    <ds:schemaRef ds:uri="be617998-72d0-48d7-94bc-be108b95e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94DAC-EC9B-4AC2-9FC1-0EAC8931D9A0}">
  <ds:schemaRefs>
    <ds:schemaRef ds:uri="http://schemas.openxmlformats.org/officeDocument/2006/bibliography"/>
  </ds:schemaRefs>
</ds:datastoreItem>
</file>

<file path=customXml/itemProps3.xml><?xml version="1.0" encoding="utf-8"?>
<ds:datastoreItem xmlns:ds="http://schemas.openxmlformats.org/officeDocument/2006/customXml" ds:itemID="{B6C34D9A-9748-49BA-8D74-04C891D2D7EE}">
  <ds:schemaRefs>
    <ds:schemaRef ds:uri="http://schemas.microsoft.com/sharepoint/v3/contenttype/forms"/>
  </ds:schemaRefs>
</ds:datastoreItem>
</file>

<file path=customXml/itemProps4.xml><?xml version="1.0" encoding="utf-8"?>
<ds:datastoreItem xmlns:ds="http://schemas.openxmlformats.org/officeDocument/2006/customXml" ds:itemID="{88903EEC-AABC-43D8-8564-7A896113A37F}">
  <ds:schemaRefs>
    <ds:schemaRef ds:uri="be617998-72d0-48d7-94bc-be108b95ee10"/>
    <ds:schemaRef ds:uri="http://schemas.microsoft.com/office/2006/documentManagement/types"/>
    <ds:schemaRef ds:uri="http://www.w3.org/XML/1998/namespace"/>
    <ds:schemaRef ds:uri="d4fb967b-7f6b-4b83-817a-a2ca65454847"/>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Links>
    <vt:vector size="30" baseType="variant">
      <vt:variant>
        <vt:i4>7602292</vt:i4>
      </vt:variant>
      <vt:variant>
        <vt:i4>12</vt:i4>
      </vt:variant>
      <vt:variant>
        <vt:i4>0</vt:i4>
      </vt:variant>
      <vt:variant>
        <vt:i4>5</vt:i4>
      </vt:variant>
      <vt:variant>
        <vt:lpwstr>https://www.legis.nd.gov/information/acdata/pdf/4-12-09.pdf</vt:lpwstr>
      </vt:variant>
      <vt:variant>
        <vt:lpwstr/>
      </vt:variant>
      <vt:variant>
        <vt:i4>7864445</vt:i4>
      </vt:variant>
      <vt:variant>
        <vt:i4>9</vt:i4>
      </vt:variant>
      <vt:variant>
        <vt:i4>0</vt:i4>
      </vt:variant>
      <vt:variant>
        <vt:i4>5</vt:i4>
      </vt:variant>
      <vt:variant>
        <vt:lpwstr>https://www.legis.nd.gov/cencode/t54c44-4.pdf</vt:lpwstr>
      </vt:variant>
      <vt:variant>
        <vt:lpwstr>nameddest=54-44p4-02p2</vt:lpwstr>
      </vt:variant>
      <vt:variant>
        <vt:i4>1900557</vt:i4>
      </vt:variant>
      <vt:variant>
        <vt:i4>6</vt:i4>
      </vt:variant>
      <vt:variant>
        <vt:i4>0</vt:i4>
      </vt:variant>
      <vt:variant>
        <vt:i4>5</vt:i4>
      </vt:variant>
      <vt:variant>
        <vt:lpwstr>https://www.legis.nd.gov/cencode/t54c12.pdf</vt:lpwstr>
      </vt:variant>
      <vt:variant>
        <vt:lpwstr>nameddest=54-12-08</vt:lpwstr>
      </vt:variant>
      <vt:variant>
        <vt:i4>7471148</vt:i4>
      </vt:variant>
      <vt:variant>
        <vt:i4>3</vt:i4>
      </vt:variant>
      <vt:variant>
        <vt:i4>0</vt:i4>
      </vt:variant>
      <vt:variant>
        <vt:i4>5</vt:i4>
      </vt:variant>
      <vt:variant>
        <vt:lpwstr>https://ndusbpos.sharepoint.com/:w:/s/NDUSPoliciesandProcedures/EZ2y-nwyNtBGu9Vi3v3OlkwB5dBlNagpvaF9t7BmQSOFQQ</vt:lpwstr>
      </vt:variant>
      <vt:variant>
        <vt:lpwstr/>
      </vt:variant>
      <vt:variant>
        <vt:i4>1769481</vt:i4>
      </vt:variant>
      <vt:variant>
        <vt:i4>0</vt:i4>
      </vt:variant>
      <vt:variant>
        <vt:i4>0</vt:i4>
      </vt:variant>
      <vt:variant>
        <vt:i4>5</vt:i4>
      </vt:variant>
      <vt:variant>
        <vt:lpwstr>https://ndusbpos.sharepoint.com/sites/NDUS_CTS_P3M/SitePages/Procurement-Management.aspx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Huggett, Dirk</dc:creator>
  <cp:keywords/>
  <dc:description/>
  <cp:lastModifiedBy>Nielsen, Pamela</cp:lastModifiedBy>
  <cp:revision>2</cp:revision>
  <dcterms:created xsi:type="dcterms:W3CDTF">2023-07-17T19:20:00Z</dcterms:created>
  <dcterms:modified xsi:type="dcterms:W3CDTF">2023-07-17T19:20:00Z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0x010100F3BFE663F32A4445A48E977275D66CD9</vt:lpwstr>
  </property>
  <property fmtid="{D5CDD505-2E9C-101B-9397-08002B2CF9AE}" pid="3" name="MediaServiceImageTags">
    <vt:lpwstr/>
  </property>
</Properties>
</file>